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  <w:t xml:space="preserve">КОММЕРЧЕСКОЕ ПРЕДЛОЖЕНИЕ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  <w:t xml:space="preserve">для компании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  <w:t xml:space="preserve">ООО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  <w:t xml:space="preserve">ЗТИ ГРУПП»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  <w:t xml:space="preserve">по факторингу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4"/>
          <w:lang w:eastAsia="ru-RU"/>
        </w:rPr>
      </w:r>
    </w:p>
    <w:p>
      <w:pPr>
        <w:ind w:firstLine="709"/>
        <w:jc w:val="bot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Настоящим письмом </w:t>
      </w:r>
      <w:r>
        <w:rPr>
          <w:rFonts w:ascii="Times New Roman" w:hAnsi="Times New Roman" w:cs="Times New Roman"/>
          <w:sz w:val="24"/>
          <w:szCs w:val="24"/>
        </w:rPr>
        <w:t xml:space="preserve">МСП</w:t>
      </w:r>
      <w:r>
        <w:rPr>
          <w:rFonts w:ascii="Times New Roman" w:hAnsi="Times New Roman" w:cs="Times New Roman"/>
          <w:sz w:val="24"/>
          <w:szCs w:val="24"/>
        </w:rPr>
        <w:t xml:space="preserve"> Факторинг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выражает заинтересованность в сотрудничестве с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«ЗТИ ГРУПП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направляет Вам предложение по факторинговому обслуживанию. Мы готовы к детальному обсуждению условий факторингового обслуживания на взаимовыгодной для Вас основе. </w:t>
      </w:r>
      <w:r>
        <w:rPr>
          <w:rFonts w:ascii="Times New Roman" w:hAnsi="Times New Roman" w:cs="Times New Roman"/>
          <w:sz w:val="24"/>
          <w:szCs w:val="24"/>
        </w:rPr>
        <w:t xml:space="preserve">Выражаем надежду на Вашу заинтересованность и готовы предметно обсудить возможности и выгоды от подобного сотрудничества с Вами в удобное время.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76"/>
        <w:tblW w:w="4970" w:type="pct"/>
        <w:tblLook w:val="0000" w:firstRow="0" w:lastRow="0" w:firstColumn="0" w:lastColumn="0" w:noHBand="0" w:noVBand="0"/>
      </w:tblPr>
      <w:tblGrid>
        <w:gridCol w:w="2123"/>
        <w:gridCol w:w="2408"/>
        <w:gridCol w:w="2269"/>
        <w:gridCol w:w="3475"/>
      </w:tblGrid>
      <w:tr>
        <w:tblPrEx/>
        <w:trPr>
          <w:trHeight w:val="107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Вид кредитного продукта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Открытый ф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акторинг без права регресса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Лимит финансирования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000 000 рублей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Пополнение оборотных 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Договор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Бессрочный, двухсторонний (Банк-Поставщик).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 финансирования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5% от суммы товарной накладной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36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Порядок финансирования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1) Электр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онный документооборот через EDI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-провайдера.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2) Финансирование выплачивается по требованию поставщика в течение срока отсрочки.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финансирования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сделки согласно контрактной отсрочки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45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Льготный период ожидания платежа от дебитора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+42 календарных дня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отсрочке по договору поставки.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Открытие расчетного счета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Требуется, если нужно иные условия просьба уведомить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62"/>
        </w:trPr>
        <w:tc>
          <w:tcPr>
            <w:shd w:val="clear" w:color="auto" w:fill="d9e2f3" w:themeFill="accent5" w:themeFillTint="33"/>
            <w:tcW w:w="1033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условия/Услуги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3"/>
            <w:tcW w:w="3967" w:type="pc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1) Административное управление дебиторской задолженностью.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2) Обслуживание с использование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электронного документооборота.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3) Комиссионное вознаграждение оплачивается поставщиком.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54"/>
        </w:trPr>
        <w:tc>
          <w:tcPr>
            <w:shd w:val="clear" w:color="auto" w:fill="d9e2f3" w:themeFill="accent5" w:themeFillTint="33"/>
            <w:tcW w:w="1033" w:type="pct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Коммерческие условия по факторингу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d9e2f3" w:themeFill="accent5" w:themeFillTint="33"/>
            <w:tcBorders>
              <w:bottom w:val="single" w:color="auto" w:sz="4" w:space="0"/>
            </w:tcBorders>
            <w:tcW w:w="1172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Дебиторы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d9e2f3" w:themeFill="accent5" w:themeFillTint="33"/>
            <w:tcBorders>
              <w:bottom w:val="single" w:color="auto" w:sz="4" w:space="0"/>
            </w:tcBorders>
            <w:tcW w:w="1104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Лимит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рублей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d9e2f3" w:themeFill="accent5" w:themeFillTint="33"/>
            <w:tcW w:w="1691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Ставка без НДС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34"/>
        </w:trPr>
        <w:tc>
          <w:tcPr>
            <w:shd w:val="clear" w:color="auto" w:fill="d9e2f3" w:themeFill="accent5" w:themeFillTint="33"/>
            <w:tcW w:w="1033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CC8BD" w:sz="4" w:space="0"/>
              <w:bottom w:val="single" w:color="auto" w:sz="4" w:space="0"/>
              <w:right w:val="single" w:color="ACC8BD" w:sz="4" w:space="0"/>
            </w:tcBorders>
            <w:tcW w:w="1172" w:type="pct"/>
            <w:textDirection w:val="lrTb"/>
            <w:noWrap w:val="false"/>
          </w:tcPr>
          <w:p>
            <w:pPr>
              <w:pStyle w:val="882"/>
              <w:ind w:left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ТОП-600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04" w:type="pct"/>
            <w:textDirection w:val="lrTb"/>
            <w:noWrap w:val="false"/>
          </w:tcPr>
          <w:p>
            <w:pPr>
              <w:pStyle w:val="882"/>
              <w:ind w:left="0"/>
              <w:jc w:val="lef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100 000 000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1" w:type="pct"/>
            <w:textDirection w:val="lrTb"/>
            <w:noWrap w:val="false"/>
          </w:tcPr>
          <w:p>
            <w:pPr>
              <w:pStyle w:val="882"/>
              <w:ind w:left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лючевая ставка ЦБ РФ 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2,5% годовых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34"/>
        </w:trPr>
        <w:tc>
          <w:tcPr>
            <w:shd w:val="clear" w:color="auto" w:fill="d9e2f3" w:themeFill="accent5" w:themeFillTint="33"/>
            <w:tcW w:w="1033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CC8BD" w:sz="4" w:space="0"/>
              <w:bottom w:val="single" w:color="auto" w:sz="4" w:space="0"/>
              <w:right w:val="single" w:color="ACC8BD" w:sz="4" w:space="0"/>
            </w:tcBorders>
            <w:tcW w:w="1172" w:type="pct"/>
            <w:textDirection w:val="lrTb"/>
            <w:noWrap w:val="false"/>
          </w:tcPr>
          <w:p>
            <w:pPr>
              <w:pStyle w:val="882"/>
              <w:ind w:left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Агентский факторинг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04" w:type="pct"/>
            <w:textDirection w:val="lrTb"/>
            <w:noWrap w:val="false"/>
          </w:tcPr>
          <w:p>
            <w:pPr>
              <w:pStyle w:val="882"/>
              <w:ind w:left="0"/>
              <w:jc w:val="lef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15% от лимита на Дебиторов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1" w:type="pct"/>
            <w:textDirection w:val="lrTb"/>
            <w:noWrap w:val="false"/>
          </w:tcPr>
          <w:p>
            <w:pPr>
              <w:pStyle w:val="882"/>
              <w:ind w:left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Ключевая ставка ЦБ РФ +2,5% годовых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6"/>
        </w:trPr>
        <w:tc>
          <w:tcPr>
            <w:shd w:val="clear" w:color="auto" w:fill="d9e2f3" w:themeFill="accent5" w:themeFillTint="33"/>
            <w:tcW w:w="1033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CC8BD" w:sz="4" w:space="0"/>
              <w:bottom w:val="single" w:color="auto" w:sz="4" w:space="0"/>
              <w:right w:val="single" w:color="ACC8BD" w:sz="4" w:space="0"/>
            </w:tcBorders>
            <w:tcW w:w="1172" w:type="pct"/>
            <w:textDirection w:val="lrTb"/>
            <w:noWrap w:val="false"/>
          </w:tcPr>
          <w:p>
            <w:pPr>
              <w:pStyle w:val="882"/>
              <w:ind w:left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04" w:type="pct"/>
            <w:textDirection w:val="lrTb"/>
            <w:noWrap w:val="false"/>
          </w:tcPr>
          <w:p>
            <w:pPr>
              <w:pStyle w:val="882"/>
              <w:ind w:left="0"/>
              <w:jc w:val="lef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1" w:type="pct"/>
            <w:textDirection w:val="lrTb"/>
            <w:noWrap w:val="false"/>
          </w:tcPr>
          <w:p>
            <w:pPr>
              <w:pStyle w:val="882"/>
              <w:ind w:left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9"/>
        </w:trPr>
        <w:tc>
          <w:tcPr>
            <w:shd w:val="clear" w:color="auto" w:fill="d9e2f3" w:themeFill="accent5" w:themeFillTint="33"/>
            <w:tcW w:w="1033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CC8BD" w:sz="4" w:space="0"/>
              <w:bottom w:val="single" w:color="auto" w:sz="4" w:space="0"/>
              <w:right w:val="single" w:color="ACC8BD" w:sz="4" w:space="0"/>
            </w:tcBorders>
            <w:tcW w:w="1172" w:type="pct"/>
            <w:textDirection w:val="lrTb"/>
            <w:noWrap w:val="false"/>
          </w:tcPr>
          <w:p>
            <w:pPr>
              <w:pStyle w:val="882"/>
              <w:ind w:left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104" w:type="pct"/>
            <w:textDirection w:val="lrTb"/>
            <w:noWrap w:val="false"/>
          </w:tcPr>
          <w:p>
            <w:pPr>
              <w:pStyle w:val="882"/>
              <w:ind w:left="0"/>
              <w:jc w:val="center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91" w:type="pct"/>
            <w:textDirection w:val="lrTb"/>
            <w:noWrap w:val="false"/>
          </w:tcPr>
          <w:p>
            <w:pPr>
              <w:pStyle w:val="882"/>
              <w:ind w:left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Финальные условия по сделке будут направлены Вам по факту утверждения уполномоченным органом </w:t>
      </w:r>
      <w:r>
        <w:rPr>
          <w:rFonts w:ascii="Times New Roman" w:hAnsi="Times New Roman" w:cs="Times New Roman"/>
          <w:sz w:val="24"/>
          <w:szCs w:val="24"/>
        </w:rPr>
        <w:t xml:space="preserve">МСП</w:t>
      </w:r>
      <w:r>
        <w:rPr>
          <w:rFonts w:ascii="Times New Roman" w:hAnsi="Times New Roman" w:cs="Times New Roman"/>
          <w:sz w:val="24"/>
          <w:szCs w:val="24"/>
        </w:rPr>
        <w:t xml:space="preserve"> Факторинг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1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709" w:left="709" w:header="708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Helv">
    <w:panose1 w:val="00000400000000000000"/>
  </w:font>
  <w:font w:name="Symbol">
    <w:panose1 w:val="05050102010706020507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rPr>
        <w:sz w:val="14"/>
        <w:szCs w:val="14"/>
        <w:lang w:eastAsia="ru-RU"/>
      </w:rPr>
    </w:pPr>
    <w:r>
      <w:rPr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288255" cy="895350"/>
              <wp:effectExtent l="0" t="0" r="0" b="0"/>
              <wp:docPr id="1" name="Рисунок 3" descr="C:\Users\KamyninaEN\AppData\Local\Microsoft\Windows\INetCache\Content.Word\msp_log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KamyninaEN\AppData\Local\Microsoft\Windows\INetCache\Content.Word\msp_logo.jp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3957" t="20000" r="0" b="25714"/>
                      <a:stretch/>
                    </pic:blipFill>
                    <pic:spPr bwMode="auto">
                      <a:xfrm>
                        <a:off x="0" y="0"/>
                        <a:ext cx="4302611" cy="8983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337.66pt;height:70.50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sz w:val="14"/>
        <w:szCs w:val="14"/>
        <w:lang w:eastAsia="ru-RU"/>
      </w:rPr>
      <w:t xml:space="preserve">                                                                                                                                              </w:t>
    </w:r>
    <w:r>
      <w:rPr>
        <w:sz w:val="14"/>
        <w:szCs w:val="14"/>
        <w:lang w:eastAsia="ru-RU"/>
      </w:rPr>
    </w:r>
    <w:r>
      <w:rPr>
        <w:sz w:val="14"/>
        <w:szCs w:val="14"/>
        <w:lang w:eastAsia="ru-RU"/>
      </w:rPr>
    </w:r>
  </w:p>
  <w:p>
    <w:pPr>
      <w:pStyle w:val="87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5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cs="Helv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cs="Helv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500"/>
      <w:numFmt w:val="bullet"/>
      <w:isLgl w:val="false"/>
      <w:suff w:val="tab"/>
      <w:lvlText w:val=""/>
      <w:lvlJc w:val="left"/>
      <w:pPr>
        <w:ind w:left="1068" w:hanging="360"/>
      </w:pPr>
      <w:rPr>
        <w:rFonts w:hint="default" w:ascii="Symbol" w:hAnsi="Symbol" w:cs="Times New Roman" w:eastAsiaTheme="minorHAnsi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500"/>
      <w:numFmt w:val="bullet"/>
      <w:isLgl w:val="false"/>
      <w:suff w:val="tab"/>
      <w:lvlText w:val=""/>
      <w:lvlJc w:val="left"/>
      <w:pPr>
        <w:ind w:left="1425" w:hanging="360"/>
      </w:pPr>
      <w:rPr>
        <w:rFonts w:hint="default" w:ascii="Symbol" w:hAnsi="Symbol" w:cs="Times New Roman" w:eastAsiaTheme="minorHAnsi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500"/>
      <w:numFmt w:val="bullet"/>
      <w:isLgl w:val="false"/>
      <w:suff w:val="tab"/>
      <w:lvlText w:val=""/>
      <w:lvlJc w:val="left"/>
      <w:pPr>
        <w:ind w:left="1065" w:hanging="360"/>
      </w:pPr>
      <w:rPr>
        <w:rFonts w:hint="default" w:ascii="Symbol" w:hAnsi="Symbol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>
    <w:name w:val="Heading 1"/>
    <w:basedOn w:val="871"/>
    <w:next w:val="871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9">
    <w:name w:val="Heading 1 Char"/>
    <w:basedOn w:val="872"/>
    <w:link w:val="698"/>
    <w:uiPriority w:val="9"/>
    <w:rPr>
      <w:rFonts w:ascii="Arial" w:hAnsi="Arial" w:eastAsia="Arial" w:cs="Arial"/>
      <w:sz w:val="40"/>
      <w:szCs w:val="40"/>
    </w:rPr>
  </w:style>
  <w:style w:type="paragraph" w:styleId="700">
    <w:name w:val="Heading 2"/>
    <w:basedOn w:val="871"/>
    <w:next w:val="871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1">
    <w:name w:val="Heading 2 Char"/>
    <w:basedOn w:val="872"/>
    <w:link w:val="700"/>
    <w:uiPriority w:val="9"/>
    <w:rPr>
      <w:rFonts w:ascii="Arial" w:hAnsi="Arial" w:eastAsia="Arial" w:cs="Arial"/>
      <w:sz w:val="34"/>
    </w:rPr>
  </w:style>
  <w:style w:type="paragraph" w:styleId="702">
    <w:name w:val="Heading 3"/>
    <w:basedOn w:val="871"/>
    <w:next w:val="871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3">
    <w:name w:val="Heading 3 Char"/>
    <w:basedOn w:val="872"/>
    <w:link w:val="702"/>
    <w:uiPriority w:val="9"/>
    <w:rPr>
      <w:rFonts w:ascii="Arial" w:hAnsi="Arial" w:eastAsia="Arial" w:cs="Arial"/>
      <w:sz w:val="30"/>
      <w:szCs w:val="30"/>
    </w:rPr>
  </w:style>
  <w:style w:type="paragraph" w:styleId="704">
    <w:name w:val="Heading 4"/>
    <w:basedOn w:val="871"/>
    <w:next w:val="871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5">
    <w:name w:val="Heading 4 Char"/>
    <w:basedOn w:val="872"/>
    <w:link w:val="704"/>
    <w:uiPriority w:val="9"/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71"/>
    <w:next w:val="871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2"/>
    <w:link w:val="706"/>
    <w:uiPriority w:val="9"/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71"/>
    <w:next w:val="871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2"/>
    <w:link w:val="708"/>
    <w:uiPriority w:val="9"/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71"/>
    <w:next w:val="871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2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871"/>
    <w:next w:val="871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3">
    <w:name w:val="Heading 8 Char"/>
    <w:basedOn w:val="872"/>
    <w:link w:val="712"/>
    <w:uiPriority w:val="9"/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871"/>
    <w:next w:val="871"/>
    <w:link w:val="71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>
    <w:name w:val="Heading 9 Char"/>
    <w:basedOn w:val="872"/>
    <w:link w:val="714"/>
    <w:uiPriority w:val="9"/>
    <w:rPr>
      <w:rFonts w:ascii="Arial" w:hAnsi="Arial" w:eastAsia="Arial" w:cs="Arial"/>
      <w:i/>
      <w:iCs/>
      <w:sz w:val="21"/>
      <w:szCs w:val="21"/>
    </w:rPr>
  </w:style>
  <w:style w:type="paragraph" w:styleId="716">
    <w:name w:val="Title"/>
    <w:basedOn w:val="871"/>
    <w:next w:val="871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>
    <w:name w:val="Title Char"/>
    <w:basedOn w:val="872"/>
    <w:link w:val="716"/>
    <w:uiPriority w:val="10"/>
    <w:rPr>
      <w:sz w:val="48"/>
      <w:szCs w:val="48"/>
    </w:rPr>
  </w:style>
  <w:style w:type="paragraph" w:styleId="718">
    <w:name w:val="Subtitle"/>
    <w:basedOn w:val="871"/>
    <w:next w:val="871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>
    <w:name w:val="Subtitle Char"/>
    <w:basedOn w:val="872"/>
    <w:link w:val="718"/>
    <w:uiPriority w:val="11"/>
    <w:rPr>
      <w:sz w:val="24"/>
      <w:szCs w:val="24"/>
    </w:rPr>
  </w:style>
  <w:style w:type="paragraph" w:styleId="720">
    <w:name w:val="Quote"/>
    <w:basedOn w:val="871"/>
    <w:next w:val="871"/>
    <w:link w:val="721"/>
    <w:uiPriority w:val="29"/>
    <w:qFormat/>
    <w:pPr>
      <w:ind w:left="720" w:right="720"/>
    </w:pPr>
    <w:rPr>
      <w:i/>
    </w:rPr>
  </w:style>
  <w:style w:type="character" w:styleId="721">
    <w:name w:val="Quote Char"/>
    <w:link w:val="720"/>
    <w:uiPriority w:val="29"/>
    <w:rPr>
      <w:i/>
    </w:rPr>
  </w:style>
  <w:style w:type="paragraph" w:styleId="722">
    <w:name w:val="Intense Quote"/>
    <w:basedOn w:val="871"/>
    <w:next w:val="871"/>
    <w:link w:val="72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>
    <w:name w:val="Intense Quote Char"/>
    <w:link w:val="722"/>
    <w:uiPriority w:val="30"/>
    <w:rPr>
      <w:i/>
    </w:rPr>
  </w:style>
  <w:style w:type="character" w:styleId="724">
    <w:name w:val="Header Char"/>
    <w:basedOn w:val="872"/>
    <w:link w:val="877"/>
    <w:uiPriority w:val="99"/>
  </w:style>
  <w:style w:type="character" w:styleId="725">
    <w:name w:val="Footer Char"/>
    <w:basedOn w:val="872"/>
    <w:link w:val="879"/>
    <w:uiPriority w:val="99"/>
  </w:style>
  <w:style w:type="paragraph" w:styleId="726">
    <w:name w:val="Caption"/>
    <w:basedOn w:val="871"/>
    <w:next w:val="8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>
    <w:name w:val="Caption Char"/>
    <w:basedOn w:val="726"/>
    <w:link w:val="879"/>
    <w:uiPriority w:val="99"/>
  </w:style>
  <w:style w:type="table" w:styleId="728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7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8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9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0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1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2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9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0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1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2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3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4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1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2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3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4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5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6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9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0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1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2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3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4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5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6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7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8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9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30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31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2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4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5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6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7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8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9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1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2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3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4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5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6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7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8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9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0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1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2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3">
    <w:name w:val="Hyperlink"/>
    <w:uiPriority w:val="99"/>
    <w:unhideWhenUsed/>
    <w:rPr>
      <w:color w:val="0000ff" w:themeColor="hyperlink"/>
      <w:u w:val="single"/>
    </w:rPr>
  </w:style>
  <w:style w:type="paragraph" w:styleId="854">
    <w:name w:val="footnote text"/>
    <w:basedOn w:val="871"/>
    <w:link w:val="855"/>
    <w:uiPriority w:val="99"/>
    <w:semiHidden/>
    <w:unhideWhenUsed/>
    <w:pPr>
      <w:spacing w:after="40" w:line="240" w:lineRule="auto"/>
    </w:pPr>
    <w:rPr>
      <w:sz w:val="18"/>
    </w:rPr>
  </w:style>
  <w:style w:type="character" w:styleId="855">
    <w:name w:val="Footnote Text Char"/>
    <w:link w:val="854"/>
    <w:uiPriority w:val="99"/>
    <w:rPr>
      <w:sz w:val="18"/>
    </w:rPr>
  </w:style>
  <w:style w:type="character" w:styleId="856">
    <w:name w:val="footnote reference"/>
    <w:basedOn w:val="872"/>
    <w:uiPriority w:val="99"/>
    <w:unhideWhenUsed/>
    <w:rPr>
      <w:vertAlign w:val="superscript"/>
    </w:rPr>
  </w:style>
  <w:style w:type="paragraph" w:styleId="857">
    <w:name w:val="endnote text"/>
    <w:basedOn w:val="871"/>
    <w:link w:val="858"/>
    <w:uiPriority w:val="99"/>
    <w:semiHidden/>
    <w:unhideWhenUsed/>
    <w:pPr>
      <w:spacing w:after="0" w:line="240" w:lineRule="auto"/>
    </w:pPr>
    <w:rPr>
      <w:sz w:val="20"/>
    </w:rPr>
  </w:style>
  <w:style w:type="character" w:styleId="858">
    <w:name w:val="Endnote Text Char"/>
    <w:link w:val="857"/>
    <w:uiPriority w:val="99"/>
    <w:rPr>
      <w:sz w:val="20"/>
    </w:rPr>
  </w:style>
  <w:style w:type="character" w:styleId="859">
    <w:name w:val="endnote reference"/>
    <w:basedOn w:val="872"/>
    <w:uiPriority w:val="99"/>
    <w:semiHidden/>
    <w:unhideWhenUsed/>
    <w:rPr>
      <w:vertAlign w:val="superscript"/>
    </w:rPr>
  </w:style>
  <w:style w:type="paragraph" w:styleId="860">
    <w:name w:val="toc 1"/>
    <w:basedOn w:val="871"/>
    <w:next w:val="871"/>
    <w:uiPriority w:val="39"/>
    <w:unhideWhenUsed/>
    <w:pPr>
      <w:ind w:left="0" w:right="0" w:firstLine="0"/>
      <w:spacing w:after="57"/>
    </w:pPr>
  </w:style>
  <w:style w:type="paragraph" w:styleId="861">
    <w:name w:val="toc 2"/>
    <w:basedOn w:val="871"/>
    <w:next w:val="871"/>
    <w:uiPriority w:val="39"/>
    <w:unhideWhenUsed/>
    <w:pPr>
      <w:ind w:left="283" w:right="0" w:firstLine="0"/>
      <w:spacing w:after="57"/>
    </w:pPr>
  </w:style>
  <w:style w:type="paragraph" w:styleId="862">
    <w:name w:val="toc 3"/>
    <w:basedOn w:val="871"/>
    <w:next w:val="871"/>
    <w:uiPriority w:val="39"/>
    <w:unhideWhenUsed/>
    <w:pPr>
      <w:ind w:left="567" w:right="0" w:firstLine="0"/>
      <w:spacing w:after="57"/>
    </w:pPr>
  </w:style>
  <w:style w:type="paragraph" w:styleId="863">
    <w:name w:val="toc 4"/>
    <w:basedOn w:val="871"/>
    <w:next w:val="871"/>
    <w:uiPriority w:val="39"/>
    <w:unhideWhenUsed/>
    <w:pPr>
      <w:ind w:left="850" w:right="0" w:firstLine="0"/>
      <w:spacing w:after="57"/>
    </w:pPr>
  </w:style>
  <w:style w:type="paragraph" w:styleId="864">
    <w:name w:val="toc 5"/>
    <w:basedOn w:val="871"/>
    <w:next w:val="871"/>
    <w:uiPriority w:val="39"/>
    <w:unhideWhenUsed/>
    <w:pPr>
      <w:ind w:left="1134" w:right="0" w:firstLine="0"/>
      <w:spacing w:after="57"/>
    </w:pPr>
  </w:style>
  <w:style w:type="paragraph" w:styleId="865">
    <w:name w:val="toc 6"/>
    <w:basedOn w:val="871"/>
    <w:next w:val="871"/>
    <w:uiPriority w:val="39"/>
    <w:unhideWhenUsed/>
    <w:pPr>
      <w:ind w:left="1417" w:right="0" w:firstLine="0"/>
      <w:spacing w:after="57"/>
    </w:pPr>
  </w:style>
  <w:style w:type="paragraph" w:styleId="866">
    <w:name w:val="toc 7"/>
    <w:basedOn w:val="871"/>
    <w:next w:val="871"/>
    <w:uiPriority w:val="39"/>
    <w:unhideWhenUsed/>
    <w:pPr>
      <w:ind w:left="1701" w:right="0" w:firstLine="0"/>
      <w:spacing w:after="57"/>
    </w:pPr>
  </w:style>
  <w:style w:type="paragraph" w:styleId="867">
    <w:name w:val="toc 8"/>
    <w:basedOn w:val="871"/>
    <w:next w:val="871"/>
    <w:uiPriority w:val="39"/>
    <w:unhideWhenUsed/>
    <w:pPr>
      <w:ind w:left="1984" w:right="0" w:firstLine="0"/>
      <w:spacing w:after="57"/>
    </w:pPr>
  </w:style>
  <w:style w:type="paragraph" w:styleId="868">
    <w:name w:val="toc 9"/>
    <w:basedOn w:val="871"/>
    <w:next w:val="871"/>
    <w:uiPriority w:val="39"/>
    <w:unhideWhenUsed/>
    <w:pPr>
      <w:ind w:left="2268" w:right="0" w:firstLine="0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871"/>
    <w:next w:val="871"/>
    <w:uiPriority w:val="99"/>
    <w:unhideWhenUsed/>
    <w:pPr>
      <w:spacing w:after="0" w:afterAutospacing="0"/>
    </w:pPr>
  </w:style>
  <w:style w:type="paragraph" w:styleId="871" w:default="1">
    <w:name w:val="Normal"/>
    <w:qFormat/>
  </w:style>
  <w:style w:type="character" w:styleId="872" w:default="1">
    <w:name w:val="Default Paragraph Font"/>
    <w:uiPriority w:val="1"/>
    <w:semiHidden/>
    <w:unhideWhenUsed/>
  </w:style>
  <w:style w:type="table" w:styleId="8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4" w:default="1">
    <w:name w:val="No List"/>
    <w:uiPriority w:val="99"/>
    <w:semiHidden/>
    <w:unhideWhenUsed/>
  </w:style>
  <w:style w:type="paragraph" w:styleId="875" w:customStyle="1">
    <w:name w:val="Default"/>
    <w:pPr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876">
    <w:name w:val="Table Grid"/>
    <w:basedOn w:val="87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7">
    <w:name w:val="Header"/>
    <w:basedOn w:val="871"/>
    <w:link w:val="87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8" w:customStyle="1">
    <w:name w:val="Верхний колонтитул Знак"/>
    <w:basedOn w:val="872"/>
    <w:link w:val="877"/>
    <w:uiPriority w:val="99"/>
  </w:style>
  <w:style w:type="paragraph" w:styleId="879">
    <w:name w:val="Footer"/>
    <w:basedOn w:val="871"/>
    <w:link w:val="88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0" w:customStyle="1">
    <w:name w:val="Нижний колонтитул Знак"/>
    <w:basedOn w:val="872"/>
    <w:link w:val="879"/>
    <w:uiPriority w:val="99"/>
  </w:style>
  <w:style w:type="paragraph" w:styleId="881">
    <w:name w:val="No Spacing"/>
    <w:uiPriority w:val="1"/>
    <w:qFormat/>
    <w:pPr>
      <w:spacing w:after="0" w:line="240" w:lineRule="auto"/>
    </w:pPr>
  </w:style>
  <w:style w:type="paragraph" w:styleId="882">
    <w:name w:val="List Paragraph"/>
    <w:basedOn w:val="87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7B9D6-EF5A-44BA-98A4-DC374095E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Р7-Офис/2024.1.2.400</Application>
  <Company>PSB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Nazemkin Maksim Ivanovich</dc:creator>
  <cp:keywords/>
  <dc:description/>
  <cp:revision>29</cp:revision>
  <dcterms:created xsi:type="dcterms:W3CDTF">2021-12-23T11:39:00Z</dcterms:created>
  <dcterms:modified xsi:type="dcterms:W3CDTF">2024-06-11T11:15:00Z</dcterms:modified>
</cp:coreProperties>
</file>