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C2" w:rsidRDefault="004E54C2" w:rsidP="004E54C2">
      <w:pPr>
        <w:pStyle w:val="Default"/>
        <w:spacing w:line="360" w:lineRule="auto"/>
        <w:ind w:firstLine="426"/>
        <w:jc w:val="center"/>
        <w:rPr>
          <w:lang w:eastAsia="ru-RU"/>
        </w:rPr>
      </w:pPr>
      <w:r>
        <w:rPr>
          <w:lang w:eastAsia="ru-RU"/>
        </w:rPr>
        <w:t>Уважаемый Клиент!</w:t>
      </w:r>
    </w:p>
    <w:p w:rsidR="00AC305B" w:rsidRDefault="00AC305B" w:rsidP="004E54C2">
      <w:pPr>
        <w:pStyle w:val="Default"/>
        <w:spacing w:line="360" w:lineRule="auto"/>
        <w:ind w:firstLine="426"/>
        <w:jc w:val="center"/>
        <w:rPr>
          <w:lang w:eastAsia="ru-RU"/>
        </w:rPr>
      </w:pPr>
    </w:p>
    <w:p w:rsidR="00AC305B" w:rsidRPr="008021B7" w:rsidRDefault="00AC305B" w:rsidP="004E54C2">
      <w:pPr>
        <w:pStyle w:val="Default"/>
        <w:spacing w:line="360" w:lineRule="auto"/>
        <w:ind w:firstLine="426"/>
        <w:jc w:val="center"/>
        <w:rPr>
          <w:lang w:eastAsia="ru-RU"/>
        </w:rPr>
      </w:pP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 xml:space="preserve">Банковская группа ТКБ выражает заинтересованность в создании и последующем развитии взаимоотношений с Вашей компанией. 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ПАО ТКБ Банк – один из крупнейших универсальных частных банков, предлагающий клиентам широкий спектр современных банковских продуктов и услуг.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 xml:space="preserve">Банк работает на российском рынке с 1992 года и входит в ТОП-10 частных банков по размеру активов. Банк присутствует в 30 регионах России, в которых открыто в общей сложности 75 офисов. 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 xml:space="preserve">Банк обладает длительным опытом обслуживания предприятий различного профиля, имеет развитую клиентскую базу и на регулярной основе финансирует их деятельность. 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Прошу Вас рассмотреть возможность проведения встречи с целью обсуждения индивидуальных условий.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Коротко о предложениях Банка: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Оборотное кредитование: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Возобновляемая/</w:t>
      </w:r>
      <w:proofErr w:type="spellStart"/>
      <w:r w:rsidRPr="00AC305B">
        <w:rPr>
          <w:lang w:eastAsia="ru-RU"/>
        </w:rPr>
        <w:t>Невозобновляемая</w:t>
      </w:r>
      <w:proofErr w:type="spellEnd"/>
      <w:r w:rsidRPr="00AC305B">
        <w:rPr>
          <w:lang w:eastAsia="ru-RU"/>
        </w:rPr>
        <w:t xml:space="preserve"> кредитная линия/Кредит;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Срок транша – 30 – 180 дней;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Отсрочка платежа до 6 месяцев;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Срок кредитования – до 36 месяцев;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Обеспечение – залог (движимое/недвижимое имущество, поручительство, ТМЦ…)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Инвестиционное кредитование: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 xml:space="preserve"> </w:t>
      </w:r>
      <w:proofErr w:type="spellStart"/>
      <w:r w:rsidRPr="00AC305B">
        <w:rPr>
          <w:lang w:eastAsia="ru-RU"/>
        </w:rPr>
        <w:t>Невозобновляемая</w:t>
      </w:r>
      <w:proofErr w:type="spellEnd"/>
      <w:r w:rsidRPr="00AC305B">
        <w:rPr>
          <w:lang w:eastAsia="ru-RU"/>
        </w:rPr>
        <w:t xml:space="preserve"> кредитная линия/Кредит;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Срок кредита – до 7 лет;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Отсрочка платежа до 6 месяцев;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 Обеспечение – залог (движимое/недвижимое имущество, поручительство, ТМЦ…)</w:t>
      </w: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</w:p>
    <w:p w:rsidR="00AC305B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lastRenderedPageBreak/>
        <w:t>Мы рады предложить Вам размещение временно свободных денежных средств на конкурентных условиях. Более подробную информацию можно обсудить на личной встрече, которая состоится в соответствии с Вашими пожеланиями.</w:t>
      </w:r>
    </w:p>
    <w:p w:rsidR="00AC305B" w:rsidRDefault="00AC305B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Вас может заинтересовать</w:t>
      </w:r>
      <w:r w:rsidR="008021B7" w:rsidRPr="00AC305B">
        <w:t xml:space="preserve"> информаци</w:t>
      </w:r>
      <w:r w:rsidRPr="00AC305B">
        <w:t>я</w:t>
      </w:r>
      <w:r w:rsidR="008021B7" w:rsidRPr="00AC305B">
        <w:t xml:space="preserve"> по платежным решениям Банка.</w:t>
      </w:r>
    </w:p>
    <w:p w:rsidR="00C10399" w:rsidRPr="00C10399" w:rsidRDefault="00940319" w:rsidP="00AC305B">
      <w:pPr>
        <w:pStyle w:val="Default"/>
        <w:spacing w:line="360" w:lineRule="auto"/>
        <w:ind w:firstLine="567"/>
        <w:contextualSpacing/>
        <w:jc w:val="both"/>
      </w:pPr>
      <w:r>
        <w:t>Банк проводит</w:t>
      </w:r>
      <w:r w:rsidR="00C10399">
        <w:t xml:space="preserve"> прямые платежи в рублях и иностранной валюте для клиентов</w:t>
      </w:r>
      <w:r>
        <w:t>.</w:t>
      </w:r>
      <w:r w:rsidR="00C10399">
        <w:t xml:space="preserve"> </w:t>
      </w:r>
      <w:r>
        <w:t>Р</w:t>
      </w:r>
      <w:r w:rsidR="00C10399">
        <w:t xml:space="preserve">асчеты </w:t>
      </w:r>
      <w:r>
        <w:t xml:space="preserve">производятся </w:t>
      </w:r>
      <w:r w:rsidR="00C10399">
        <w:t xml:space="preserve">в рублях </w:t>
      </w:r>
      <w:r>
        <w:t>в</w:t>
      </w:r>
      <w:r w:rsidR="00C10399">
        <w:t xml:space="preserve"> Азербайджан, Грузию, Казахстан, Узбекистан и др.</w:t>
      </w:r>
      <w:bookmarkStart w:id="0" w:name="_GoBack"/>
      <w:bookmarkEnd w:id="0"/>
      <w:r>
        <w:t xml:space="preserve"> Возможные валюты платежа:</w:t>
      </w:r>
      <w:r w:rsidR="00C10399">
        <w:t xml:space="preserve"> </w:t>
      </w:r>
      <w:r w:rsidR="00C10399">
        <w:rPr>
          <w:lang w:val="en-US"/>
        </w:rPr>
        <w:t>ARM</w:t>
      </w:r>
      <w:r w:rsidR="00C10399">
        <w:t xml:space="preserve"> – армянский драм, </w:t>
      </w:r>
      <w:r w:rsidR="00C10399">
        <w:rPr>
          <w:lang w:val="en-US"/>
        </w:rPr>
        <w:t>AZN</w:t>
      </w:r>
      <w:r w:rsidR="00C10399" w:rsidRPr="00C10399">
        <w:t xml:space="preserve"> – </w:t>
      </w:r>
      <w:r w:rsidR="00C10399">
        <w:t xml:space="preserve">азербайджанский </w:t>
      </w:r>
      <w:proofErr w:type="spellStart"/>
      <w:r w:rsidR="00C10399">
        <w:t>манат</w:t>
      </w:r>
      <w:proofErr w:type="spellEnd"/>
      <w:r w:rsidR="00C10399">
        <w:t xml:space="preserve">, </w:t>
      </w:r>
      <w:r>
        <w:t xml:space="preserve"> </w:t>
      </w:r>
      <w:r w:rsidR="00C10399">
        <w:rPr>
          <w:lang w:val="en-US"/>
        </w:rPr>
        <w:t>BYN</w:t>
      </w:r>
      <w:r w:rsidR="00C10399" w:rsidRPr="00C10399">
        <w:t xml:space="preserve"> </w:t>
      </w:r>
      <w:r w:rsidR="00C10399">
        <w:t>–</w:t>
      </w:r>
      <w:r>
        <w:t>б</w:t>
      </w:r>
      <w:r w:rsidR="00C10399">
        <w:t xml:space="preserve">елорусский рубль, </w:t>
      </w:r>
      <w:r w:rsidR="00C10399">
        <w:rPr>
          <w:lang w:val="en-US"/>
        </w:rPr>
        <w:t>KGS</w:t>
      </w:r>
      <w:r w:rsidR="00C10399" w:rsidRPr="00C10399">
        <w:t xml:space="preserve">- </w:t>
      </w:r>
      <w:r w:rsidR="00C10399">
        <w:t xml:space="preserve">киргизский сом, </w:t>
      </w:r>
      <w:r w:rsidR="00C0384D">
        <w:rPr>
          <w:lang w:val="en-US"/>
        </w:rPr>
        <w:t>KZT</w:t>
      </w:r>
      <w:r w:rsidR="00C0384D" w:rsidRPr="00C0384D">
        <w:t xml:space="preserve"> </w:t>
      </w:r>
      <w:r w:rsidR="00C0384D">
        <w:t xml:space="preserve">– казахстанский тенге, </w:t>
      </w:r>
      <w:r w:rsidR="00C0384D">
        <w:rPr>
          <w:lang w:val="en-US"/>
        </w:rPr>
        <w:t>TJS</w:t>
      </w:r>
      <w:r w:rsidR="00C0384D" w:rsidRPr="00C0384D">
        <w:t xml:space="preserve"> </w:t>
      </w:r>
      <w:r>
        <w:t xml:space="preserve">–таджикский </w:t>
      </w:r>
      <w:proofErr w:type="spellStart"/>
      <w:r>
        <w:t>сомони</w:t>
      </w:r>
      <w:proofErr w:type="spellEnd"/>
      <w:r>
        <w:t xml:space="preserve">, </w:t>
      </w:r>
      <w:r w:rsidR="00C0384D">
        <w:rPr>
          <w:lang w:val="en-US"/>
        </w:rPr>
        <w:t>INR</w:t>
      </w:r>
      <w:r w:rsidR="00C0384D" w:rsidRPr="00C0384D">
        <w:t xml:space="preserve"> </w:t>
      </w:r>
      <w:r w:rsidR="00C0384D">
        <w:t>–</w:t>
      </w:r>
      <w:r w:rsidR="00C0384D" w:rsidRPr="00C0384D">
        <w:t xml:space="preserve"> </w:t>
      </w:r>
      <w:r w:rsidR="00C0384D">
        <w:t xml:space="preserve">индийская рупия, </w:t>
      </w:r>
      <w:r w:rsidR="00C0384D">
        <w:rPr>
          <w:lang w:val="en-US"/>
        </w:rPr>
        <w:t>RSD</w:t>
      </w:r>
      <w:r w:rsidR="00C0384D" w:rsidRPr="00C0384D">
        <w:t xml:space="preserve"> </w:t>
      </w:r>
      <w:r w:rsidR="00C0384D">
        <w:t>–</w:t>
      </w:r>
      <w:r w:rsidR="00C0384D" w:rsidRPr="00C0384D">
        <w:t xml:space="preserve"> </w:t>
      </w:r>
      <w:r w:rsidR="00C0384D">
        <w:t xml:space="preserve">сербский динар.  </w:t>
      </w:r>
      <w:r w:rsidR="00C10399">
        <w:t xml:space="preserve">   </w:t>
      </w:r>
    </w:p>
    <w:p w:rsidR="00AC305B" w:rsidRPr="00AC305B" w:rsidRDefault="00C0384D" w:rsidP="00AC305B">
      <w:pPr>
        <w:pStyle w:val="Default"/>
        <w:spacing w:line="360" w:lineRule="auto"/>
        <w:ind w:firstLine="567"/>
        <w:contextualSpacing/>
        <w:jc w:val="both"/>
      </w:pPr>
      <w:r>
        <w:t>Есть возможность проведения платежей через нашего</w:t>
      </w:r>
      <w:r w:rsidR="008021B7" w:rsidRPr="00AC305B">
        <w:t xml:space="preserve"> партнер</w:t>
      </w:r>
      <w:r>
        <w:t>а, который</w:t>
      </w:r>
      <w:r w:rsidR="008021B7" w:rsidRPr="00AC305B">
        <w:t> осуществляет платежи по всему миру в качестве платежного агента.</w:t>
      </w:r>
    </w:p>
    <w:p w:rsidR="00AC305B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 xml:space="preserve">Комиссия за проведения платежей </w:t>
      </w:r>
      <w:r w:rsidR="00AC305B" w:rsidRPr="00AC305B">
        <w:t xml:space="preserve">в среднем от </w:t>
      </w:r>
      <w:r w:rsidR="00C0384D">
        <w:t>2,9</w:t>
      </w:r>
      <w:r w:rsidR="00AC305B" w:rsidRPr="00AC305B">
        <w:t>%.</w:t>
      </w:r>
    </w:p>
    <w:p w:rsidR="00AC305B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Расчеты с агентом производятся в рублях РФ, без</w:t>
      </w:r>
      <w:r w:rsidRPr="00AC305B">
        <w:rPr>
          <w:b/>
          <w:bCs/>
        </w:rPr>
        <w:t xml:space="preserve"> </w:t>
      </w:r>
      <w:r w:rsidRPr="00AC305B">
        <w:t>дополнительных комиссий за конвертацию.</w:t>
      </w:r>
    </w:p>
    <w:p w:rsidR="00AC305B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Базовая валюта платежей –</w:t>
      </w:r>
      <w:r w:rsidR="00AC305B" w:rsidRPr="00AC305B">
        <w:t xml:space="preserve"> </w:t>
      </w:r>
      <w:r w:rsidRPr="00AC305B">
        <w:t>доллар / евро / дирхам / юань / лира.</w:t>
      </w:r>
    </w:p>
    <w:p w:rsidR="00AC305B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С точки зрения взаимодействия и расчета комиссии, порядок действий следующий:</w:t>
      </w:r>
    </w:p>
    <w:p w:rsidR="00AC305B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Запрашиваем минимальный пакет документов, который включает инвойс и контракт.</w:t>
      </w:r>
    </w:p>
    <w:p w:rsid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После получения данных документов агент сообщает о готовности в проведении платежей и озвучивает размер комиссии.</w:t>
      </w:r>
      <w:r w:rsidR="00AC305B">
        <w:t xml:space="preserve"> </w:t>
      </w:r>
      <w:r w:rsidRPr="00AC305B">
        <w:t>После верификации всей информации агент готовит соглашение на подпись.</w:t>
      </w:r>
    </w:p>
    <w:p w:rsid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Все взаимодействие с агентами производится силами Банка.</w:t>
      </w:r>
    </w:p>
    <w:p w:rsidR="008021B7" w:rsidRPr="00AC305B" w:rsidRDefault="008021B7" w:rsidP="00AC305B">
      <w:pPr>
        <w:pStyle w:val="Default"/>
        <w:spacing w:line="360" w:lineRule="auto"/>
        <w:ind w:firstLine="567"/>
        <w:contextualSpacing/>
        <w:jc w:val="both"/>
      </w:pPr>
      <w:r w:rsidRPr="00AC305B">
        <w:t>Если у Вас возникнут вопросы – готов</w:t>
      </w:r>
      <w:r w:rsidR="00AC305B" w:rsidRPr="00AC305B">
        <w:t>ы</w:t>
      </w:r>
      <w:r w:rsidRPr="00AC305B">
        <w:t xml:space="preserve"> оперативно ответить</w:t>
      </w:r>
      <w:r w:rsidR="00AC305B" w:rsidRPr="00AC305B">
        <w:t>.</w:t>
      </w:r>
    </w:p>
    <w:p w:rsidR="008021B7" w:rsidRPr="00AC305B" w:rsidRDefault="008021B7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</w:p>
    <w:p w:rsidR="004E54C2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Надеемся на плодотворное сотрудничество.</w:t>
      </w:r>
    </w:p>
    <w:p w:rsidR="008021B7" w:rsidRPr="00AC305B" w:rsidRDefault="008021B7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</w:p>
    <w:p w:rsidR="00CC45A0" w:rsidRPr="00AC305B" w:rsidRDefault="004E54C2" w:rsidP="00AC305B">
      <w:pPr>
        <w:pStyle w:val="Default"/>
        <w:spacing w:line="360" w:lineRule="auto"/>
        <w:ind w:firstLine="567"/>
        <w:contextualSpacing/>
        <w:jc w:val="both"/>
        <w:rPr>
          <w:lang w:eastAsia="ru-RU"/>
        </w:rPr>
      </w:pPr>
      <w:r w:rsidRPr="00AC305B">
        <w:rPr>
          <w:lang w:eastAsia="ru-RU"/>
        </w:rPr>
        <w:t>С уважением,</w:t>
      </w:r>
    </w:p>
    <w:p w:rsidR="00D67BFA" w:rsidRPr="00AC305B" w:rsidRDefault="00D67BFA" w:rsidP="00AC305B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7D70" w:rsidRPr="00F97D70" w:rsidRDefault="00F97D70" w:rsidP="00F97D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D70">
        <w:rPr>
          <w:rFonts w:ascii="Times New Roman" w:hAnsi="Times New Roman" w:cs="Times New Roman"/>
          <w:b/>
          <w:sz w:val="24"/>
          <w:szCs w:val="24"/>
        </w:rPr>
        <w:t>Управляющий Дополнительным офисом</w:t>
      </w:r>
    </w:p>
    <w:p w:rsidR="00F97D70" w:rsidRPr="00F97D70" w:rsidRDefault="00F97D70" w:rsidP="00F97D70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D70">
        <w:rPr>
          <w:rFonts w:ascii="Times New Roman" w:hAnsi="Times New Roman" w:cs="Times New Roman"/>
          <w:b/>
          <w:sz w:val="24"/>
          <w:szCs w:val="24"/>
        </w:rPr>
        <w:t xml:space="preserve">«Самарский» </w:t>
      </w:r>
      <w:r>
        <w:rPr>
          <w:rFonts w:ascii="Times New Roman" w:hAnsi="Times New Roman" w:cs="Times New Roman"/>
          <w:b/>
          <w:sz w:val="24"/>
          <w:szCs w:val="24"/>
        </w:rPr>
        <w:t>ТКБ</w:t>
      </w:r>
      <w:r w:rsidRPr="00F97D70">
        <w:rPr>
          <w:rFonts w:ascii="Times New Roman" w:hAnsi="Times New Roman" w:cs="Times New Roman"/>
          <w:b/>
          <w:sz w:val="24"/>
          <w:szCs w:val="24"/>
        </w:rPr>
        <w:t xml:space="preserve"> БАНК ПАО                                                                             Н.А. Савельева</w:t>
      </w:r>
    </w:p>
    <w:p w:rsidR="00F97D70" w:rsidRPr="00F97D70" w:rsidRDefault="00F97D70" w:rsidP="00F97D70">
      <w:pPr>
        <w:ind w:right="6351"/>
        <w:contextualSpacing/>
        <w:rPr>
          <w:rFonts w:ascii="Times New Roman" w:hAnsi="Times New Roman" w:cs="Times New Roman"/>
          <w:sz w:val="24"/>
          <w:szCs w:val="24"/>
        </w:rPr>
      </w:pPr>
    </w:p>
    <w:p w:rsidR="00F97D70" w:rsidRDefault="00F97D70" w:rsidP="00F97D70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97D70" w:rsidRDefault="00F97D70" w:rsidP="00F97D70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Исп. Кашапова Н.И.</w:t>
      </w:r>
    </w:p>
    <w:p w:rsidR="00F97D70" w:rsidRPr="00F97D70" w:rsidRDefault="00F97D70" w:rsidP="00F97D70">
      <w:pPr>
        <w:pStyle w:val="ConsPlusTitle"/>
        <w:spacing w:line="360" w:lineRule="auto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Тел. 8-927-657-13-73</w:t>
      </w:r>
    </w:p>
    <w:sectPr w:rsidR="00F97D70" w:rsidRPr="00F97D70" w:rsidSect="00AC305B">
      <w:headerReference w:type="default" r:id="rId8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C5E" w:rsidRDefault="00003C5E" w:rsidP="001C3A2E">
      <w:pPr>
        <w:spacing w:after="0" w:line="240" w:lineRule="auto"/>
      </w:pPr>
      <w:r>
        <w:separator/>
      </w:r>
    </w:p>
  </w:endnote>
  <w:endnote w:type="continuationSeparator" w:id="0">
    <w:p w:rsidR="00003C5E" w:rsidRDefault="00003C5E" w:rsidP="001C3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C5E" w:rsidRDefault="00003C5E" w:rsidP="001C3A2E">
      <w:pPr>
        <w:spacing w:after="0" w:line="240" w:lineRule="auto"/>
      </w:pPr>
      <w:r>
        <w:separator/>
      </w:r>
    </w:p>
  </w:footnote>
  <w:footnote w:type="continuationSeparator" w:id="0">
    <w:p w:rsidR="00003C5E" w:rsidRDefault="00003C5E" w:rsidP="001C3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2E" w:rsidRDefault="00D532A5" w:rsidP="00157924">
    <w:pPr>
      <w:pStyle w:val="a3"/>
      <w:tabs>
        <w:tab w:val="clear" w:pos="4677"/>
        <w:tab w:val="clear" w:pos="9355"/>
        <w:tab w:val="left" w:pos="2490"/>
      </w:tabs>
      <w:rPr>
        <w:noProof/>
        <w:lang w:eastAsia="ru-RU"/>
      </w:rPr>
    </w:pPr>
    <w:r w:rsidRPr="00BD593C">
      <w:rPr>
        <w:noProof/>
        <w:lang w:eastAsia="ru-RU"/>
      </w:rPr>
      <w:drawing>
        <wp:inline distT="0" distB="0" distL="0" distR="0" wp14:anchorId="2AA65EAA" wp14:editId="4B8A703B">
          <wp:extent cx="1212112" cy="505256"/>
          <wp:effectExtent l="0" t="0" r="762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32" cy="5054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B49" w:rsidRDefault="00C44B49" w:rsidP="00157924">
    <w:pPr>
      <w:pStyle w:val="a3"/>
      <w:tabs>
        <w:tab w:val="clear" w:pos="4677"/>
        <w:tab w:val="clear" w:pos="9355"/>
        <w:tab w:val="left" w:pos="2490"/>
      </w:tabs>
      <w:rPr>
        <w:noProof/>
        <w:lang w:eastAsia="ru-RU"/>
      </w:rPr>
    </w:pP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  <w:r>
      <w:rPr>
        <w:noProof/>
        <w:lang w:eastAsia="ru-RU"/>
      </w:rPr>
      <w:tab/>
    </w:r>
  </w:p>
  <w:tbl>
    <w:tblPr>
      <w:tblStyle w:val="aa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98"/>
      <w:gridCol w:w="4141"/>
    </w:tblGrid>
    <w:tr w:rsidR="00A53D89" w:rsidRPr="005E24AF" w:rsidTr="005606FA">
      <w:tc>
        <w:tcPr>
          <w:tcW w:w="5498" w:type="dxa"/>
        </w:tcPr>
        <w:p w:rsidR="00A53D89" w:rsidRPr="00C44B49" w:rsidRDefault="00A53D89" w:rsidP="00A53D89">
          <w:pPr>
            <w:pStyle w:val="a3"/>
            <w:ind w:hanging="105"/>
            <w:rPr>
              <w:b/>
              <w:noProof/>
              <w:sz w:val="20"/>
              <w:szCs w:val="20"/>
              <w:lang w:eastAsia="ru-RU"/>
            </w:rPr>
          </w:pPr>
          <w:r w:rsidRPr="00C44B49">
            <w:rPr>
              <w:b/>
              <w:noProof/>
              <w:sz w:val="20"/>
              <w:szCs w:val="20"/>
              <w:lang w:eastAsia="ru-RU"/>
            </w:rPr>
            <w:t xml:space="preserve">Публичное акционерное общество «ТРАНСКАПИТАЛБАНК» </w:t>
          </w:r>
        </w:p>
        <w:p w:rsidR="00A53D89" w:rsidRPr="00C44B49" w:rsidRDefault="00A53D89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  <w:r w:rsidRPr="00C44B49">
            <w:rPr>
              <w:noProof/>
              <w:sz w:val="20"/>
              <w:szCs w:val="20"/>
              <w:lang w:eastAsia="ru-RU"/>
            </w:rPr>
            <w:t>109147, г. Москва, ул. Воронцовская, д.27/35</w:t>
          </w:r>
        </w:p>
        <w:p w:rsidR="00A53D89" w:rsidRPr="00F421B2" w:rsidRDefault="00A53D89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  <w:r w:rsidRPr="00C44B49">
            <w:rPr>
              <w:noProof/>
              <w:sz w:val="20"/>
              <w:szCs w:val="20"/>
              <w:lang w:val="en-US" w:eastAsia="ru-RU"/>
            </w:rPr>
            <w:t>www</w:t>
          </w:r>
          <w:r w:rsidRPr="00F421B2">
            <w:rPr>
              <w:noProof/>
              <w:sz w:val="20"/>
              <w:szCs w:val="20"/>
              <w:lang w:eastAsia="ru-RU"/>
            </w:rPr>
            <w:t>.</w:t>
          </w:r>
          <w:r w:rsidRPr="00C44B49">
            <w:rPr>
              <w:noProof/>
              <w:sz w:val="20"/>
              <w:szCs w:val="20"/>
              <w:lang w:val="en-US" w:eastAsia="ru-RU"/>
            </w:rPr>
            <w:t>tkbbank</w:t>
          </w:r>
          <w:r w:rsidRPr="00F421B2">
            <w:rPr>
              <w:noProof/>
              <w:sz w:val="20"/>
              <w:szCs w:val="20"/>
              <w:lang w:eastAsia="ru-RU"/>
            </w:rPr>
            <w:t>.</w:t>
          </w:r>
          <w:r w:rsidRPr="00C44B49">
            <w:rPr>
              <w:noProof/>
              <w:sz w:val="20"/>
              <w:szCs w:val="20"/>
              <w:lang w:val="en-US" w:eastAsia="ru-RU"/>
            </w:rPr>
            <w:t>ru</w:t>
          </w:r>
          <w:r w:rsidRPr="00F421B2">
            <w:rPr>
              <w:noProof/>
              <w:sz w:val="20"/>
              <w:szCs w:val="20"/>
              <w:lang w:eastAsia="ru-RU"/>
            </w:rPr>
            <w:t xml:space="preserve">, </w:t>
          </w:r>
          <w:r w:rsidRPr="00C44B49">
            <w:rPr>
              <w:noProof/>
              <w:sz w:val="20"/>
              <w:szCs w:val="20"/>
              <w:lang w:val="en-US" w:eastAsia="ru-RU"/>
            </w:rPr>
            <w:t>e</w:t>
          </w:r>
          <w:r w:rsidRPr="00F421B2">
            <w:rPr>
              <w:noProof/>
              <w:sz w:val="20"/>
              <w:szCs w:val="20"/>
              <w:lang w:eastAsia="ru-RU"/>
            </w:rPr>
            <w:t>-</w:t>
          </w:r>
          <w:r w:rsidRPr="00C44B49">
            <w:rPr>
              <w:noProof/>
              <w:sz w:val="20"/>
              <w:szCs w:val="20"/>
              <w:lang w:val="en-US" w:eastAsia="ru-RU"/>
            </w:rPr>
            <w:t>mail</w:t>
          </w:r>
          <w:r w:rsidRPr="00F421B2">
            <w:rPr>
              <w:noProof/>
              <w:sz w:val="20"/>
              <w:szCs w:val="20"/>
              <w:lang w:eastAsia="ru-RU"/>
            </w:rPr>
            <w:t xml:space="preserve">: </w:t>
          </w:r>
          <w:r w:rsidRPr="00C44B49">
            <w:rPr>
              <w:noProof/>
              <w:sz w:val="20"/>
              <w:szCs w:val="20"/>
              <w:lang w:val="en-US" w:eastAsia="ru-RU"/>
            </w:rPr>
            <w:t>info</w:t>
          </w:r>
          <w:r w:rsidRPr="00F421B2">
            <w:rPr>
              <w:noProof/>
              <w:sz w:val="20"/>
              <w:szCs w:val="20"/>
              <w:lang w:eastAsia="ru-RU"/>
            </w:rPr>
            <w:t>@</w:t>
          </w:r>
          <w:r w:rsidRPr="00C44B49">
            <w:rPr>
              <w:noProof/>
              <w:sz w:val="20"/>
              <w:szCs w:val="20"/>
              <w:lang w:val="en-US" w:eastAsia="ru-RU"/>
            </w:rPr>
            <w:t>tkbbank</w:t>
          </w:r>
          <w:r w:rsidRPr="00F421B2">
            <w:rPr>
              <w:noProof/>
              <w:sz w:val="20"/>
              <w:szCs w:val="20"/>
              <w:lang w:eastAsia="ru-RU"/>
            </w:rPr>
            <w:t>.</w:t>
          </w:r>
          <w:r w:rsidRPr="00C44B49">
            <w:rPr>
              <w:noProof/>
              <w:sz w:val="20"/>
              <w:szCs w:val="20"/>
              <w:lang w:val="en-US" w:eastAsia="ru-RU"/>
            </w:rPr>
            <w:t>ru</w:t>
          </w:r>
        </w:p>
        <w:p w:rsidR="00A53D89" w:rsidRPr="00C44B49" w:rsidRDefault="00A53D89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  <w:r w:rsidRPr="00C44B49">
            <w:rPr>
              <w:noProof/>
              <w:sz w:val="20"/>
              <w:szCs w:val="20"/>
              <w:lang w:eastAsia="ru-RU"/>
            </w:rPr>
            <w:t>Тел.: +7 495 777 4150</w:t>
          </w:r>
        </w:p>
        <w:p w:rsidR="00A53D89" w:rsidRPr="00C44B49" w:rsidRDefault="00A53D89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  <w:r w:rsidRPr="00C44B49">
            <w:rPr>
              <w:noProof/>
              <w:sz w:val="20"/>
              <w:szCs w:val="20"/>
              <w:lang w:eastAsia="ru-RU"/>
            </w:rPr>
            <w:t>ОКПО 26237308, ИНН 7709129705, КПП 770901001</w:t>
          </w:r>
        </w:p>
        <w:p w:rsidR="00A53D89" w:rsidRDefault="00A53D89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</w:p>
        <w:p w:rsidR="007D1337" w:rsidRDefault="007D1337" w:rsidP="00A53D89">
          <w:pPr>
            <w:pStyle w:val="a3"/>
            <w:ind w:hanging="105"/>
            <w:rPr>
              <w:noProof/>
              <w:sz w:val="20"/>
              <w:szCs w:val="20"/>
              <w:lang w:eastAsia="ru-RU"/>
            </w:rPr>
          </w:pPr>
        </w:p>
        <w:p w:rsidR="00A53D89" w:rsidRDefault="00A53D89" w:rsidP="00A53D89">
          <w:pPr>
            <w:pStyle w:val="a3"/>
            <w:ind w:hanging="105"/>
            <w:rPr>
              <w:sz w:val="44"/>
              <w:szCs w:val="24"/>
              <w:lang w:eastAsia="ru-RU"/>
            </w:rPr>
          </w:pPr>
          <w:r>
            <w:rPr>
              <w:noProof/>
              <w:sz w:val="44"/>
              <w:szCs w:val="24"/>
              <w:lang w:eastAsia="ru-RU"/>
            </w:rPr>
            <w:drawing>
              <wp:inline distT="0" distB="0" distL="0" distR="0" wp14:anchorId="1900646C" wp14:editId="3F1946AC">
                <wp:extent cx="2955851" cy="303506"/>
                <wp:effectExtent l="0" t="0" r="0" b="190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5668" cy="3034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53D89" w:rsidRDefault="00A53D89">
          <w:pPr>
            <w:pStyle w:val="a3"/>
            <w:rPr>
              <w:noProof/>
              <w:lang w:eastAsia="ru-RU"/>
            </w:rPr>
          </w:pPr>
        </w:p>
      </w:tc>
      <w:tc>
        <w:tcPr>
          <w:tcW w:w="4141" w:type="dxa"/>
        </w:tcPr>
        <w:p w:rsidR="00C676D9" w:rsidRPr="005606FA" w:rsidRDefault="00C676D9" w:rsidP="005606FA">
          <w:pPr>
            <w:pStyle w:val="a3"/>
            <w:ind w:right="-258"/>
            <w:rPr>
              <w:noProof/>
              <w:sz w:val="24"/>
              <w:szCs w:val="24"/>
              <w:highlight w:val="yellow"/>
              <w:lang w:eastAsia="ru-RU"/>
            </w:rPr>
          </w:pPr>
        </w:p>
      </w:tc>
    </w:tr>
  </w:tbl>
  <w:p w:rsidR="001C3A2E" w:rsidRPr="001C3A2E" w:rsidRDefault="00237792" w:rsidP="001C3A2E">
    <w:pPr>
      <w:pStyle w:val="a3"/>
      <w:ind w:firstLine="142"/>
      <w:rPr>
        <w:sz w:val="20"/>
        <w:szCs w:val="20"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 wp14:anchorId="47B8FA3E" wp14:editId="1E64FA7C">
          <wp:simplePos x="0" y="0"/>
          <wp:positionH relativeFrom="column">
            <wp:posOffset>902335</wp:posOffset>
          </wp:positionH>
          <wp:positionV relativeFrom="paragraph">
            <wp:posOffset>1921217</wp:posOffset>
          </wp:positionV>
          <wp:extent cx="4112406" cy="4112408"/>
          <wp:effectExtent l="0" t="0" r="2540" b="254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xmlns:w16se="http://schemas.microsoft.com/office/word/2015/wordml/symex" xmlns:cx1="http://schemas.microsoft.com/office/drawing/2015/9/8/chartex" xmlns:cx="http://schemas.microsoft.com/office/drawing/2014/chartex" xmlns:w15="http://schemas.microsoft.com/office/word/2012/wordml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2406" cy="41124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72078"/>
    <w:multiLevelType w:val="hybridMultilevel"/>
    <w:tmpl w:val="9108591A"/>
    <w:lvl w:ilvl="0" w:tplc="68D881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2E"/>
    <w:rsid w:val="00000079"/>
    <w:rsid w:val="00003C5E"/>
    <w:rsid w:val="000362B7"/>
    <w:rsid w:val="00091836"/>
    <w:rsid w:val="0011703F"/>
    <w:rsid w:val="00157924"/>
    <w:rsid w:val="00173351"/>
    <w:rsid w:val="0018333B"/>
    <w:rsid w:val="0019443D"/>
    <w:rsid w:val="001A6D33"/>
    <w:rsid w:val="001C0719"/>
    <w:rsid w:val="001C3A2E"/>
    <w:rsid w:val="00237792"/>
    <w:rsid w:val="002A1812"/>
    <w:rsid w:val="002C2223"/>
    <w:rsid w:val="002D5782"/>
    <w:rsid w:val="002D7403"/>
    <w:rsid w:val="003723F1"/>
    <w:rsid w:val="003A1BC2"/>
    <w:rsid w:val="003C34F6"/>
    <w:rsid w:val="003C6998"/>
    <w:rsid w:val="003D2B1A"/>
    <w:rsid w:val="003F0B0E"/>
    <w:rsid w:val="003F2161"/>
    <w:rsid w:val="004C45CB"/>
    <w:rsid w:val="004E54C2"/>
    <w:rsid w:val="00515496"/>
    <w:rsid w:val="0053522D"/>
    <w:rsid w:val="005606FA"/>
    <w:rsid w:val="005B75AC"/>
    <w:rsid w:val="005E24AF"/>
    <w:rsid w:val="0063092A"/>
    <w:rsid w:val="0065387E"/>
    <w:rsid w:val="00684EC7"/>
    <w:rsid w:val="006A2C05"/>
    <w:rsid w:val="006E27EA"/>
    <w:rsid w:val="006F6BF6"/>
    <w:rsid w:val="0071681F"/>
    <w:rsid w:val="00795649"/>
    <w:rsid w:val="00795C2C"/>
    <w:rsid w:val="007C4407"/>
    <w:rsid w:val="007D1337"/>
    <w:rsid w:val="008021B7"/>
    <w:rsid w:val="00813739"/>
    <w:rsid w:val="00855AC8"/>
    <w:rsid w:val="00867E04"/>
    <w:rsid w:val="00892CC5"/>
    <w:rsid w:val="008F73CE"/>
    <w:rsid w:val="00906AD9"/>
    <w:rsid w:val="00940319"/>
    <w:rsid w:val="00947818"/>
    <w:rsid w:val="00957CBF"/>
    <w:rsid w:val="0097497A"/>
    <w:rsid w:val="00A20C55"/>
    <w:rsid w:val="00A53D89"/>
    <w:rsid w:val="00AC305B"/>
    <w:rsid w:val="00AF5D05"/>
    <w:rsid w:val="00B305E5"/>
    <w:rsid w:val="00B447C9"/>
    <w:rsid w:val="00B5123B"/>
    <w:rsid w:val="00B63C13"/>
    <w:rsid w:val="00B66EA1"/>
    <w:rsid w:val="00B9253E"/>
    <w:rsid w:val="00C0384D"/>
    <w:rsid w:val="00C10399"/>
    <w:rsid w:val="00C23791"/>
    <w:rsid w:val="00C4336B"/>
    <w:rsid w:val="00C44B49"/>
    <w:rsid w:val="00C676D9"/>
    <w:rsid w:val="00CB33A7"/>
    <w:rsid w:val="00CC45A0"/>
    <w:rsid w:val="00CF0D5A"/>
    <w:rsid w:val="00D16D06"/>
    <w:rsid w:val="00D532A5"/>
    <w:rsid w:val="00D67BFA"/>
    <w:rsid w:val="00DB208B"/>
    <w:rsid w:val="00DE3B4E"/>
    <w:rsid w:val="00E4362B"/>
    <w:rsid w:val="00E66317"/>
    <w:rsid w:val="00E76753"/>
    <w:rsid w:val="00EB5237"/>
    <w:rsid w:val="00F023E9"/>
    <w:rsid w:val="00F421B2"/>
    <w:rsid w:val="00F71269"/>
    <w:rsid w:val="00F81736"/>
    <w:rsid w:val="00F97D70"/>
    <w:rsid w:val="00FC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A2E"/>
  </w:style>
  <w:style w:type="paragraph" w:styleId="a5">
    <w:name w:val="footer"/>
    <w:basedOn w:val="a"/>
    <w:link w:val="a6"/>
    <w:uiPriority w:val="99"/>
    <w:unhideWhenUsed/>
    <w:rsid w:val="001C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A2E"/>
  </w:style>
  <w:style w:type="paragraph" w:styleId="a7">
    <w:name w:val="Balloon Text"/>
    <w:basedOn w:val="a"/>
    <w:link w:val="a8"/>
    <w:uiPriority w:val="99"/>
    <w:semiHidden/>
    <w:unhideWhenUsed/>
    <w:rsid w:val="001C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A2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123B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A5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44B49"/>
    <w:pPr>
      <w:ind w:left="720"/>
      <w:contextualSpacing/>
    </w:pPr>
  </w:style>
  <w:style w:type="paragraph" w:customStyle="1" w:styleId="ConsPlusTitle">
    <w:name w:val="ConsPlusTitle"/>
    <w:rsid w:val="00C44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906AD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67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02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3A2E"/>
  </w:style>
  <w:style w:type="paragraph" w:styleId="a5">
    <w:name w:val="footer"/>
    <w:basedOn w:val="a"/>
    <w:link w:val="a6"/>
    <w:uiPriority w:val="99"/>
    <w:unhideWhenUsed/>
    <w:rsid w:val="001C3A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3A2E"/>
  </w:style>
  <w:style w:type="paragraph" w:styleId="a7">
    <w:name w:val="Balloon Text"/>
    <w:basedOn w:val="a"/>
    <w:link w:val="a8"/>
    <w:uiPriority w:val="99"/>
    <w:semiHidden/>
    <w:unhideWhenUsed/>
    <w:rsid w:val="001C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3A2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5123B"/>
    <w:rPr>
      <w:color w:val="0000FF" w:themeColor="hyperlink"/>
      <w:u w:val="single"/>
    </w:rPr>
  </w:style>
  <w:style w:type="table" w:styleId="aa">
    <w:name w:val="Table Grid"/>
    <w:basedOn w:val="a1"/>
    <w:uiPriority w:val="59"/>
    <w:unhideWhenUsed/>
    <w:rsid w:val="00A53D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C44B49"/>
    <w:pPr>
      <w:ind w:left="720"/>
      <w:contextualSpacing/>
    </w:pPr>
  </w:style>
  <w:style w:type="paragraph" w:customStyle="1" w:styleId="ConsPlusTitle">
    <w:name w:val="ConsPlusTitle"/>
    <w:rsid w:val="00C44B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 Spacing"/>
    <w:uiPriority w:val="1"/>
    <w:qFormat/>
    <w:rsid w:val="00906AD9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D67B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Normal (Web)"/>
    <w:basedOn w:val="a"/>
    <w:uiPriority w:val="99"/>
    <w:semiHidden/>
    <w:unhideWhenUsed/>
    <w:rsid w:val="008021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TCB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Zedd</dc:creator>
  <cp:lastModifiedBy>saveleva_na</cp:lastModifiedBy>
  <cp:revision>2</cp:revision>
  <cp:lastPrinted>2024-12-02T11:09:00Z</cp:lastPrinted>
  <dcterms:created xsi:type="dcterms:W3CDTF">2025-01-14T12:52:00Z</dcterms:created>
  <dcterms:modified xsi:type="dcterms:W3CDTF">2025-01-14T12:52:00Z</dcterms:modified>
</cp:coreProperties>
</file>