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2A" w:rsidRDefault="002B0D2A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noProof/>
          <w:color w:val="1F497D"/>
          <w:lang w:eastAsia="ru-RU"/>
        </w:rPr>
        <w:drawing>
          <wp:inline distT="0" distB="0" distL="0" distR="0" wp14:anchorId="0C495316">
            <wp:extent cx="2212975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0D2A" w:rsidRDefault="002B0D2A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bookmarkStart w:id="0" w:name="_GoBack"/>
      <w:bookmarkEnd w:id="0"/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E79"/>
        </w:rPr>
      </w:pPr>
      <w:r w:rsidRPr="00962750">
        <w:rPr>
          <w:rFonts w:ascii="Calibri" w:eastAsia="Calibri" w:hAnsi="Calibri" w:cs="Calibri"/>
          <w:color w:val="1F497D"/>
        </w:rPr>
        <w:t>ББР Банк п</w:t>
      </w:r>
      <w:r>
        <w:rPr>
          <w:rFonts w:ascii="Calibri" w:eastAsia="Calibri" w:hAnsi="Calibri" w:cs="Calibri"/>
          <w:color w:val="1F497D"/>
        </w:rPr>
        <w:t>риглашает ООО "ЗТИ ВОЛГА</w:t>
      </w:r>
      <w:r w:rsidRPr="00962750">
        <w:rPr>
          <w:rFonts w:ascii="Calibri" w:eastAsia="Calibri" w:hAnsi="Calibri" w:cs="Calibri"/>
          <w:color w:val="1F497D"/>
        </w:rPr>
        <w:t>" к сотрудничеству и предлагаем рассмотреть наше предложение.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ББР Банк – это гибкий банк, нацеленный на полное сопровождение корпоративного клиента одним менеджером, предлагаем размеще</w:t>
      </w:r>
      <w:r>
        <w:rPr>
          <w:rFonts w:ascii="Calibri" w:eastAsia="Calibri" w:hAnsi="Calibri" w:cs="Calibri"/>
          <w:color w:val="1F497D"/>
        </w:rPr>
        <w:t>ние овернайтов и депозитов (18.2% год. - 19.3</w:t>
      </w:r>
      <w:r w:rsidRPr="00962750">
        <w:rPr>
          <w:rFonts w:ascii="Calibri" w:eastAsia="Calibri" w:hAnsi="Calibri" w:cs="Calibri"/>
          <w:color w:val="1F497D"/>
        </w:rPr>
        <w:t xml:space="preserve">%), лимиты Банковских гарантий на все цели, кредитование корпоративного сегмента по </w:t>
      </w:r>
      <w:proofErr w:type="spellStart"/>
      <w:r w:rsidRPr="00962750">
        <w:rPr>
          <w:rFonts w:ascii="Calibri" w:eastAsia="Calibri" w:hAnsi="Calibri" w:cs="Calibri"/>
          <w:color w:val="1F497D"/>
        </w:rPr>
        <w:t>скоринговым</w:t>
      </w:r>
      <w:proofErr w:type="spellEnd"/>
      <w:r w:rsidRPr="00962750">
        <w:rPr>
          <w:rFonts w:ascii="Calibri" w:eastAsia="Calibri" w:hAnsi="Calibri" w:cs="Calibri"/>
          <w:color w:val="1F497D"/>
        </w:rPr>
        <w:t xml:space="preserve"> продуктам </w:t>
      </w:r>
      <w:r w:rsidRPr="00962750">
        <w:rPr>
          <w:rFonts w:ascii="Calibri" w:eastAsia="Calibri" w:hAnsi="Calibri" w:cs="Calibri"/>
          <w:color w:val="1F4E79"/>
        </w:rPr>
        <w:t>(ВКЛ без залога до 30</w:t>
      </w:r>
      <w:r>
        <w:rPr>
          <w:rFonts w:ascii="Calibri" w:eastAsia="Calibri" w:hAnsi="Calibri" w:cs="Calibri"/>
          <w:color w:val="1F4E79"/>
        </w:rPr>
        <w:t xml:space="preserve"> </w:t>
      </w:r>
      <w:r w:rsidRPr="00962750">
        <w:rPr>
          <w:rFonts w:ascii="Calibri" w:eastAsia="Calibri" w:hAnsi="Calibri" w:cs="Calibri"/>
          <w:color w:val="1F4E79"/>
        </w:rPr>
        <w:t xml:space="preserve">млн </w:t>
      </w:r>
      <w:proofErr w:type="spellStart"/>
      <w:r w:rsidRPr="00962750">
        <w:rPr>
          <w:rFonts w:ascii="Calibri" w:eastAsia="Calibri" w:hAnsi="Calibri" w:cs="Calibri"/>
          <w:color w:val="1F4E79"/>
        </w:rPr>
        <w:t>руб</w:t>
      </w:r>
      <w:proofErr w:type="spellEnd"/>
      <w:r w:rsidRPr="00962750">
        <w:rPr>
          <w:rFonts w:ascii="Calibri" w:eastAsia="Calibri" w:hAnsi="Calibri" w:cs="Calibri"/>
          <w:color w:val="1F4E79"/>
        </w:rPr>
        <w:t xml:space="preserve">) </w:t>
      </w:r>
      <w:r w:rsidRPr="00962750">
        <w:rPr>
          <w:rFonts w:ascii="Calibri" w:eastAsia="Calibri" w:hAnsi="Calibri" w:cs="Calibri"/>
          <w:color w:val="1F497D"/>
        </w:rPr>
        <w:t>и индивидуальным условиям (в том числе гибки в залогах и консолидации группы)</w:t>
      </w:r>
      <w:r w:rsidRPr="00962750">
        <w:rPr>
          <w:rFonts w:ascii="Calibri" w:eastAsia="Calibri" w:hAnsi="Calibri" w:cs="Calibri"/>
        </w:rPr>
        <w:t xml:space="preserve"> </w:t>
      </w:r>
      <w:r w:rsidRPr="00962750">
        <w:rPr>
          <w:rFonts w:ascii="Calibri" w:eastAsia="Calibri" w:hAnsi="Calibri" w:cs="Calibri"/>
          <w:color w:val="1F4E79"/>
        </w:rPr>
        <w:t xml:space="preserve">– КС+3-4%.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Индивидуальные условия размещения готовы обсудить при конкретных данных по сумме и сроку.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Надеюсь, что смогу предложить более выгодные условия, чем у текущего Банка.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Депозиты возможно размещать с открытием расчетного счета и без открытия. Открытие р/счета бесплатно, ведение 3 мес. бесплатно, далее 790 р. в мес.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К письму прилагаю условия по депозитам и презентацию по Банку.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На сегодня ставки по депозитам: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От 1 до 7 дней – </w:t>
      </w:r>
      <w:r w:rsidRPr="00962750">
        <w:rPr>
          <w:rFonts w:ascii="Calibri" w:eastAsia="Calibri" w:hAnsi="Calibri" w:cs="Calibri"/>
          <w:b/>
          <w:bCs/>
          <w:color w:val="1F497D"/>
        </w:rPr>
        <w:t>18.2%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От 8 дней до 30 дней – </w:t>
      </w:r>
      <w:r w:rsidRPr="00962750">
        <w:rPr>
          <w:rFonts w:ascii="Calibri" w:eastAsia="Calibri" w:hAnsi="Calibri" w:cs="Calibri"/>
          <w:b/>
          <w:bCs/>
          <w:color w:val="1F497D"/>
        </w:rPr>
        <w:t>19.0%</w:t>
      </w:r>
      <w:r w:rsidRPr="00962750">
        <w:rPr>
          <w:rFonts w:ascii="Calibri" w:eastAsia="Calibri" w:hAnsi="Calibri" w:cs="Calibri"/>
          <w:color w:val="1F497D"/>
        </w:rPr>
        <w:t xml:space="preserve">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От 31 дня до 180 дней – </w:t>
      </w:r>
      <w:r w:rsidRPr="00962750">
        <w:rPr>
          <w:rFonts w:ascii="Calibri" w:eastAsia="Calibri" w:hAnsi="Calibri" w:cs="Calibri"/>
          <w:b/>
          <w:bCs/>
          <w:color w:val="1F497D"/>
        </w:rPr>
        <w:t>18.5%</w:t>
      </w:r>
      <w:r w:rsidRPr="00962750">
        <w:rPr>
          <w:rFonts w:ascii="Calibri" w:eastAsia="Calibri" w:hAnsi="Calibri" w:cs="Calibri"/>
          <w:color w:val="1F497D"/>
        </w:rPr>
        <w:t xml:space="preserve">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Свыше 6 мес. – </w:t>
      </w:r>
      <w:r w:rsidRPr="00962750">
        <w:rPr>
          <w:rFonts w:ascii="Calibri" w:eastAsia="Calibri" w:hAnsi="Calibri" w:cs="Calibri"/>
          <w:b/>
          <w:bCs/>
          <w:color w:val="1F497D"/>
        </w:rPr>
        <w:t>под запрос.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 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Ставка привлечения в валютах: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дол, евро – </w:t>
      </w:r>
      <w:r w:rsidRPr="00962750">
        <w:rPr>
          <w:rFonts w:ascii="Calibri" w:eastAsia="Calibri" w:hAnsi="Calibri" w:cs="Calibri"/>
          <w:b/>
          <w:bCs/>
          <w:color w:val="1F497D"/>
        </w:rPr>
        <w:t>0%</w:t>
      </w:r>
      <w:r w:rsidRPr="00962750">
        <w:rPr>
          <w:rFonts w:ascii="Calibri" w:eastAsia="Calibri" w:hAnsi="Calibri" w:cs="Calibri"/>
          <w:color w:val="1F497D"/>
        </w:rPr>
        <w:t xml:space="preserve">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юань: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до мес.– </w:t>
      </w:r>
      <w:r w:rsidRPr="00962750">
        <w:rPr>
          <w:rFonts w:ascii="Calibri" w:eastAsia="Calibri" w:hAnsi="Calibri" w:cs="Calibri"/>
          <w:b/>
          <w:bCs/>
          <w:color w:val="1F497D"/>
        </w:rPr>
        <w:t>0%</w:t>
      </w:r>
      <w:r w:rsidRPr="00962750">
        <w:rPr>
          <w:rFonts w:ascii="Calibri" w:eastAsia="Calibri" w:hAnsi="Calibri" w:cs="Calibri"/>
          <w:color w:val="1F497D"/>
        </w:rPr>
        <w:t xml:space="preserve">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от 1 до 3 мес. – </w:t>
      </w:r>
      <w:r w:rsidRPr="00962750">
        <w:rPr>
          <w:rFonts w:ascii="Calibri" w:eastAsia="Calibri" w:hAnsi="Calibri" w:cs="Calibri"/>
          <w:b/>
          <w:bCs/>
          <w:color w:val="1F497D"/>
        </w:rPr>
        <w:t>1%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от 3 до 6 мес. – </w:t>
      </w:r>
      <w:r w:rsidRPr="00962750">
        <w:rPr>
          <w:rFonts w:ascii="Calibri" w:eastAsia="Calibri" w:hAnsi="Calibri" w:cs="Calibri"/>
          <w:b/>
          <w:bCs/>
          <w:color w:val="1F497D"/>
        </w:rPr>
        <w:t>2%</w:t>
      </w:r>
      <w:r w:rsidRPr="00962750">
        <w:rPr>
          <w:rFonts w:ascii="Calibri" w:eastAsia="Calibri" w:hAnsi="Calibri" w:cs="Calibri"/>
          <w:color w:val="1F497D"/>
        </w:rPr>
        <w:t xml:space="preserve">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свыше 6 мес. – </w:t>
      </w:r>
      <w:r w:rsidRPr="00962750">
        <w:rPr>
          <w:rFonts w:ascii="Calibri" w:eastAsia="Calibri" w:hAnsi="Calibri" w:cs="Calibri"/>
          <w:b/>
          <w:bCs/>
          <w:color w:val="1F497D"/>
        </w:rPr>
        <w:t>3%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Также направляем наши условия по ВЭД.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color w:val="1F497D"/>
        </w:rPr>
        <w:t>У нас курс валют ниже по рынку, можно согласовать индивидуальные условия.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color w:val="1F497D"/>
        </w:rPr>
      </w:pPr>
      <w:r w:rsidRPr="00962750">
        <w:rPr>
          <w:rFonts w:ascii="Calibri" w:eastAsia="Calibri" w:hAnsi="Calibri" w:cs="Calibri"/>
          <w:color w:val="1F497D"/>
        </w:rPr>
        <w:t xml:space="preserve">ББР Банк – это гибкий банк, нацеленный на </w:t>
      </w:r>
      <w:r w:rsidRPr="00962750">
        <w:rPr>
          <w:rFonts w:ascii="Calibri" w:eastAsia="Calibri" w:hAnsi="Calibri" w:cs="Calibri"/>
          <w:b/>
          <w:bCs/>
          <w:color w:val="1F497D"/>
        </w:rPr>
        <w:t>полное сопровождение корпоративного клиента одним менеджером.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color w:val="1F497D"/>
        </w:rPr>
      </w:pPr>
      <w:r w:rsidRPr="00962750">
        <w:rPr>
          <w:rFonts w:ascii="Calibri" w:eastAsia="Calibri" w:hAnsi="Calibri" w:cs="Calibri"/>
          <w:b/>
          <w:bCs/>
          <w:color w:val="1F497D"/>
        </w:rPr>
        <w:t>Предлагаем ВЭД-платежи по всем направлениям и валютам</w:t>
      </w:r>
      <w:r w:rsidRPr="00962750">
        <w:rPr>
          <w:rFonts w:ascii="Calibri" w:eastAsia="Calibri" w:hAnsi="Calibri" w:cs="Calibri"/>
          <w:color w:val="1F497D"/>
        </w:rPr>
        <w:t xml:space="preserve">, в том числе в </w:t>
      </w:r>
      <w:r w:rsidRPr="00962750">
        <w:rPr>
          <w:rFonts w:ascii="Calibri" w:eastAsia="Calibri" w:hAnsi="Calibri" w:cs="Calibri"/>
          <w:b/>
          <w:bCs/>
          <w:color w:val="1F497D"/>
        </w:rPr>
        <w:t>Китай</w:t>
      </w:r>
      <w:r w:rsidRPr="00962750">
        <w:rPr>
          <w:rFonts w:ascii="Calibri" w:eastAsia="Calibri" w:hAnsi="Calibri" w:cs="Calibri"/>
          <w:color w:val="1F497D"/>
        </w:rPr>
        <w:t xml:space="preserve">, </w:t>
      </w:r>
      <w:r w:rsidRPr="00962750">
        <w:rPr>
          <w:rFonts w:ascii="Calibri" w:eastAsia="Calibri" w:hAnsi="Calibri" w:cs="Calibri"/>
          <w:b/>
          <w:bCs/>
          <w:color w:val="1F497D"/>
        </w:rPr>
        <w:t>Турцию, Индию</w:t>
      </w:r>
      <w:r w:rsidRPr="00962750">
        <w:rPr>
          <w:rFonts w:ascii="Calibri" w:eastAsia="Calibri" w:hAnsi="Calibri" w:cs="Calibri"/>
          <w:color w:val="1F497D"/>
        </w:rPr>
        <w:t>. По разным схемам прохождения платежей.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>Китайский юань в пользу клиентов (контрагентов) следующих банков: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- BANK OF KUNLUN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  (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CKLBCNBJ)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- HEIHE RURAL COMMERCIAL BANK CO., LTD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( HRCMCNBH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 )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- Bank Of China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  (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BKCHCNBJ)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- MENGSHANG BANK (BTCBCNBJ)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- Bank of Dandong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Co.Ltd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 (SWIFT: DDBKCNBD).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- Zhejiang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Chouzhou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 Commercial Bank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( CZCBCN2X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  <w:lang w:val="en-US"/>
        </w:rPr>
      </w:pP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- Qingdao Rural Commercial Bank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( 4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 </w:t>
      </w:r>
      <w:r w:rsidRPr="00962750">
        <w:rPr>
          <w:rFonts w:ascii="Calibri" w:eastAsia="Calibri" w:hAnsi="Calibri" w:cs="Calibri"/>
          <w:i/>
          <w:iCs/>
          <w:color w:val="1F497D"/>
        </w:rPr>
        <w:t>категории</w:t>
      </w: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 xml:space="preserve"> </w:t>
      </w:r>
      <w:r w:rsidRPr="00962750">
        <w:rPr>
          <w:rFonts w:ascii="Calibri" w:eastAsia="Calibri" w:hAnsi="Calibri" w:cs="Calibri"/>
          <w:i/>
          <w:iCs/>
          <w:color w:val="1F497D"/>
        </w:rPr>
        <w:t>товаров</w:t>
      </w:r>
      <w:r w:rsidRPr="00962750">
        <w:rPr>
          <w:rFonts w:ascii="Calibri" w:eastAsia="Calibri" w:hAnsi="Calibri" w:cs="Calibri"/>
          <w:i/>
          <w:iCs/>
          <w:color w:val="1F497D"/>
          <w:lang w:val="en-US"/>
        </w:rPr>
        <w:t>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-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Bank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of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Tianjin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</w:rPr>
        <w:t>( 4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</w:rPr>
        <w:t xml:space="preserve"> категории товаров)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-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Jincheng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Bank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</w:rPr>
        <w:t>( 4</w:t>
      </w:r>
      <w:proofErr w:type="gramEnd"/>
      <w:r w:rsidRPr="00962750">
        <w:rPr>
          <w:rFonts w:ascii="Calibri" w:eastAsia="Calibri" w:hAnsi="Calibri" w:cs="Calibri"/>
          <w:i/>
          <w:iCs/>
          <w:color w:val="1F497D"/>
        </w:rPr>
        <w:t xml:space="preserve"> категории товаров)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>Выписка из тарифов РКО на 31.03.2025 по платежам ВЭД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402"/>
      </w:tblGrid>
      <w:tr w:rsidR="00962750" w:rsidRPr="00962750" w:rsidTr="00962750">
        <w:trPr>
          <w:trHeight w:val="276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b/>
                <w:bCs/>
                <w:color w:val="1F497D"/>
              </w:rPr>
              <w:t xml:space="preserve">Наименование услуги 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b/>
                <w:bCs/>
                <w:color w:val="1F497D"/>
              </w:rPr>
              <w:t> Тариф</w:t>
            </w:r>
          </w:p>
        </w:tc>
      </w:tr>
      <w:tr w:rsidR="00962750" w:rsidRPr="00962750" w:rsidTr="00962750">
        <w:trPr>
          <w:trHeight w:val="276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Переводы в CNY для клиентов, не являющихся Банками-респондентами, за исключением п. 4.1.1.1.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0,50% (</w:t>
            </w:r>
            <w:proofErr w:type="spellStart"/>
            <w:r w:rsidRPr="00962750">
              <w:rPr>
                <w:rFonts w:ascii="Calibri" w:eastAsia="Calibri" w:hAnsi="Calibri" w:cs="Calibri"/>
                <w:color w:val="1F497D"/>
              </w:rPr>
              <w:t>min</w:t>
            </w:r>
            <w:proofErr w:type="spellEnd"/>
            <w:r w:rsidRPr="00962750">
              <w:rPr>
                <w:rFonts w:ascii="Calibri" w:eastAsia="Calibri" w:hAnsi="Calibri" w:cs="Calibri"/>
                <w:color w:val="1F497D"/>
              </w:rPr>
              <w:t xml:space="preserve"> 450 CNY, </w:t>
            </w:r>
            <w:proofErr w:type="spellStart"/>
            <w:r w:rsidRPr="00962750">
              <w:rPr>
                <w:rFonts w:ascii="Calibri" w:eastAsia="Calibri" w:hAnsi="Calibri" w:cs="Calibri"/>
                <w:color w:val="1F497D"/>
              </w:rPr>
              <w:t>max</w:t>
            </w:r>
            <w:proofErr w:type="spellEnd"/>
            <w:r w:rsidRPr="00962750">
              <w:rPr>
                <w:rFonts w:ascii="Calibri" w:eastAsia="Calibri" w:hAnsi="Calibri" w:cs="Calibri"/>
                <w:color w:val="1F497D"/>
              </w:rPr>
              <w:t xml:space="preserve"> 4999 CNY</w:t>
            </w:r>
          </w:p>
        </w:tc>
      </w:tr>
      <w:tr w:rsidR="00962750" w:rsidRPr="00962750" w:rsidTr="00962750">
        <w:trPr>
          <w:trHeight w:val="276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lastRenderedPageBreak/>
              <w:t xml:space="preserve">Осуществление функций агента валютного контроля по операциям резидентов (юридических лиц и индивидуальных предпринимателей) при списании денежных средств со счетов клиентов-резидентов. 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0,15 % от суммы перевода</w:t>
            </w:r>
          </w:p>
        </w:tc>
      </w:tr>
    </w:tbl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 xml:space="preserve">Платежи в Китай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Для проведения </w:t>
      </w:r>
      <w:r w:rsidRPr="00962750">
        <w:rPr>
          <w:rFonts w:ascii="Calibri" w:eastAsia="Calibri" w:hAnsi="Calibri" w:cs="Calibri"/>
          <w:b/>
          <w:bCs/>
          <w:i/>
          <w:iCs/>
          <w:color w:val="1F497D"/>
          <w:u w:val="single"/>
        </w:rPr>
        <w:t>сложных платежей</w:t>
      </w:r>
      <w:r w:rsidRPr="00962750">
        <w:rPr>
          <w:rFonts w:ascii="Calibri" w:eastAsia="Calibri" w:hAnsi="Calibri" w:cs="Calibri"/>
          <w:i/>
          <w:iCs/>
          <w:color w:val="1F497D"/>
        </w:rPr>
        <w:t xml:space="preserve"> предлагаем Авансовую схему расчетов через надежных агентов Банка: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Агентское вознаграждение – от 2,0% до 3,0% (зависит от суммы платежа и маршрута платежа)  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noProof/>
          <w:color w:val="1F497D"/>
          <w:lang w:eastAsia="ru-RU"/>
        </w:rPr>
        <w:drawing>
          <wp:inline distT="0" distB="0" distL="0" distR="0" wp14:anchorId="1492634C" wp14:editId="5EDC1371">
            <wp:extent cx="6172200" cy="1301115"/>
            <wp:effectExtent l="0" t="0" r="0" b="0"/>
            <wp:docPr id="3" name="Рисунок 2" descr="cid:image004.png@01DBE51D.15E31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4.png@01DBE51D.15E31E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2. Комиссия за организацию платежного маршрута – 1 000 рублей за 1 платеж (в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т.ч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>. НДС)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>3. Комиссия за валютный контроль</w:t>
      </w: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 xml:space="preserve"> отсутствует.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>Платежи в Турцию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ББР Банк предлагает проведение операций в турецких лирах и российских рублях через Банк- партнер </w:t>
      </w:r>
      <w:proofErr w:type="gramStart"/>
      <w:r w:rsidRPr="00962750">
        <w:rPr>
          <w:rFonts w:ascii="Calibri" w:eastAsia="Calibri" w:hAnsi="Calibri" w:cs="Calibri"/>
          <w:i/>
          <w:iCs/>
          <w:color w:val="1F497D"/>
        </w:rPr>
        <w:t xml:space="preserve">в 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Türkiye</w:t>
      </w:r>
      <w:proofErr w:type="spellEnd"/>
      <w:proofErr w:type="gram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Emlak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Katılım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</w:t>
      </w:r>
      <w:proofErr w:type="spellStart"/>
      <w:r w:rsidRPr="00962750">
        <w:rPr>
          <w:rFonts w:ascii="Calibri" w:eastAsia="Calibri" w:hAnsi="Calibri" w:cs="Calibri"/>
          <w:i/>
          <w:iCs/>
          <w:color w:val="1F497D"/>
        </w:rPr>
        <w:t>Bankası</w:t>
      </w:r>
      <w:proofErr w:type="spellEnd"/>
      <w:r w:rsidRPr="00962750">
        <w:rPr>
          <w:rFonts w:ascii="Calibri" w:eastAsia="Calibri" w:hAnsi="Calibri" w:cs="Calibri"/>
          <w:i/>
          <w:iCs/>
          <w:color w:val="1F497D"/>
        </w:rPr>
        <w:t xml:space="preserve"> A.Ş.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>Выписка из тарифов РКО на 16.04.2025 по платежам ВЭД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402"/>
      </w:tblGrid>
      <w:tr w:rsidR="00962750" w:rsidRPr="00962750" w:rsidTr="00962750">
        <w:trPr>
          <w:trHeight w:val="276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b/>
                <w:bCs/>
                <w:color w:val="1F497D"/>
              </w:rPr>
              <w:t xml:space="preserve">Наименование услуги 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1F497D"/>
              </w:rPr>
            </w:pPr>
            <w:r w:rsidRPr="00962750">
              <w:rPr>
                <w:rFonts w:ascii="Calibri" w:eastAsia="Calibri" w:hAnsi="Calibri" w:cs="Calibri"/>
                <w:b/>
                <w:bCs/>
                <w:color w:val="1F497D"/>
              </w:rPr>
              <w:t> Тариф</w:t>
            </w:r>
          </w:p>
        </w:tc>
      </w:tr>
      <w:tr w:rsidR="00962750" w:rsidRPr="00962750" w:rsidTr="00962750">
        <w:trPr>
          <w:trHeight w:val="276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 xml:space="preserve">Переводы в TRY, когда банком получателя является иной банк, отличный от банка-корреспондента банка ББР           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0,85% мин. 4 000 TRY</w:t>
            </w:r>
          </w:p>
        </w:tc>
      </w:tr>
      <w:tr w:rsidR="00962750" w:rsidRPr="00962750" w:rsidTr="00962750">
        <w:trPr>
          <w:trHeight w:val="276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 xml:space="preserve">Осуществление функций агента валютного контроля по операциям резидентов (юридических лиц и индивидуальных предпринимателей) при списании денежных средств со счетов клиентов-резидентов. 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0,15 % от суммы перевода</w:t>
            </w:r>
          </w:p>
        </w:tc>
      </w:tr>
      <w:tr w:rsidR="00962750" w:rsidRPr="00962750" w:rsidTr="00962750">
        <w:trPr>
          <w:trHeight w:val="276"/>
        </w:trPr>
        <w:tc>
          <w:tcPr>
            <w:tcW w:w="6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 xml:space="preserve">Внешние переводы (рубли) резидентами РФ на счета, открытые в других кредитных организациях за </w:t>
            </w:r>
            <w:proofErr w:type="spellStart"/>
            <w:r w:rsidRPr="00962750">
              <w:rPr>
                <w:rFonts w:ascii="Calibri" w:eastAsia="Calibri" w:hAnsi="Calibri" w:cs="Calibri"/>
                <w:color w:val="1F497D"/>
              </w:rPr>
              <w:t>рубежом,за</w:t>
            </w:r>
            <w:proofErr w:type="spellEnd"/>
            <w:r w:rsidRPr="00962750">
              <w:rPr>
                <w:rFonts w:ascii="Calibri" w:eastAsia="Calibri" w:hAnsi="Calibri" w:cs="Calibri"/>
                <w:color w:val="1F497D"/>
              </w:rPr>
              <w:t xml:space="preserve"> исключением переводов, указанных в пп.2.3.11 - 2.3.13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2750" w:rsidRPr="00962750" w:rsidRDefault="00962750" w:rsidP="00962750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r w:rsidRPr="00962750">
              <w:rPr>
                <w:rFonts w:ascii="Calibri" w:eastAsia="Calibri" w:hAnsi="Calibri" w:cs="Calibri"/>
                <w:color w:val="1F497D"/>
              </w:rPr>
              <w:t>0,3% (</w:t>
            </w:r>
            <w:proofErr w:type="spellStart"/>
            <w:r w:rsidRPr="00962750">
              <w:rPr>
                <w:rFonts w:ascii="Calibri" w:eastAsia="Calibri" w:hAnsi="Calibri" w:cs="Calibri"/>
                <w:color w:val="1F497D"/>
              </w:rPr>
              <w:t>min</w:t>
            </w:r>
            <w:proofErr w:type="spellEnd"/>
            <w:r w:rsidRPr="00962750">
              <w:rPr>
                <w:rFonts w:ascii="Calibri" w:eastAsia="Calibri" w:hAnsi="Calibri" w:cs="Calibri"/>
                <w:color w:val="1F497D"/>
              </w:rPr>
              <w:t xml:space="preserve"> 3 000 руб., </w:t>
            </w:r>
            <w:proofErr w:type="spellStart"/>
            <w:r w:rsidRPr="00962750">
              <w:rPr>
                <w:rFonts w:ascii="Calibri" w:eastAsia="Calibri" w:hAnsi="Calibri" w:cs="Calibri"/>
                <w:color w:val="1F497D"/>
              </w:rPr>
              <w:t>max</w:t>
            </w:r>
            <w:proofErr w:type="spellEnd"/>
            <w:r w:rsidRPr="00962750">
              <w:rPr>
                <w:rFonts w:ascii="Calibri" w:eastAsia="Calibri" w:hAnsi="Calibri" w:cs="Calibri"/>
                <w:color w:val="1F497D"/>
              </w:rPr>
              <w:t xml:space="preserve"> 200 000руб.)</w:t>
            </w:r>
          </w:p>
        </w:tc>
      </w:tr>
    </w:tbl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1F497D"/>
        </w:rPr>
      </w:pPr>
      <w:r w:rsidRPr="00962750">
        <w:rPr>
          <w:rFonts w:ascii="Calibri" w:eastAsia="Calibri" w:hAnsi="Calibri" w:cs="Calibri"/>
          <w:b/>
          <w:bCs/>
          <w:i/>
          <w:iCs/>
          <w:color w:val="1F497D"/>
        </w:rPr>
        <w:t>Платежи в Индию</w:t>
      </w:r>
    </w:p>
    <w:p w:rsidR="00962750" w:rsidRPr="00962750" w:rsidRDefault="00962750" w:rsidP="00962750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 xml:space="preserve">Индивидуальный тариф для платежей на рупии </w:t>
      </w:r>
    </w:p>
    <w:p w:rsidR="00962750" w:rsidRPr="00B26A22" w:rsidRDefault="00962750" w:rsidP="00B26A22">
      <w:pPr>
        <w:spacing w:after="0" w:line="240" w:lineRule="auto"/>
        <w:rPr>
          <w:rFonts w:ascii="Calibri" w:eastAsia="Calibri" w:hAnsi="Calibri" w:cs="Calibri"/>
          <w:i/>
          <w:iCs/>
          <w:color w:val="1F497D"/>
        </w:rPr>
      </w:pPr>
      <w:r w:rsidRPr="00962750">
        <w:rPr>
          <w:rFonts w:ascii="Calibri" w:eastAsia="Calibri" w:hAnsi="Calibri" w:cs="Calibri"/>
          <w:i/>
          <w:iCs/>
          <w:color w:val="1F497D"/>
        </w:rPr>
        <w:t> 0.85% мин 6 800 руб., макс. 1 500 000 руб.</w:t>
      </w:r>
    </w:p>
    <w:p w:rsidR="00B26A22" w:rsidRDefault="00B26A22" w:rsidP="00962750">
      <w:pPr>
        <w:rPr>
          <w:rFonts w:ascii="Verdana" w:hAnsi="Verdana"/>
          <w:color w:val="000000"/>
          <w:sz w:val="20"/>
        </w:rPr>
      </w:pPr>
    </w:p>
    <w:p w:rsidR="00962750" w:rsidRDefault="00962750" w:rsidP="00962750">
      <w:pPr>
        <w:rPr>
          <w:rFonts w:ascii="Verdana" w:hAnsi="Verdana"/>
          <w:color w:val="1B63A5"/>
          <w:sz w:val="20"/>
        </w:rPr>
      </w:pPr>
      <w:r>
        <w:rPr>
          <w:rFonts w:ascii="Verdana" w:hAnsi="Verdana"/>
          <w:color w:val="000000"/>
          <w:sz w:val="20"/>
        </w:rPr>
        <w:t>С уважением,</w:t>
      </w:r>
      <w:r>
        <w:rPr>
          <w:rFonts w:ascii="Verdana" w:hAnsi="Verdana"/>
          <w:color w:val="000000"/>
          <w:sz w:val="20"/>
        </w:rPr>
        <w:br/>
        <w:t>Анастасия Тимко,</w:t>
      </w:r>
      <w:r>
        <w:rPr>
          <w:rFonts w:ascii="Verdana" w:hAnsi="Verdana"/>
          <w:color w:val="000000"/>
          <w:sz w:val="20"/>
        </w:rPr>
        <w:br/>
        <w:t>Руководитель направления</w:t>
      </w:r>
      <w:r>
        <w:rPr>
          <w:rFonts w:ascii="Verdana" w:hAnsi="Verdana"/>
          <w:color w:val="000000"/>
          <w:sz w:val="20"/>
        </w:rPr>
        <w:br/>
        <w:t>Удаленной точки обслуживания "Самара"</w:t>
      </w:r>
      <w:r>
        <w:rPr>
          <w:rFonts w:ascii="Verdana" w:hAnsi="Verdana"/>
          <w:color w:val="000000"/>
          <w:sz w:val="20"/>
        </w:rPr>
        <w:br/>
        <w:t>Дополнительного офиса "Санкт-Петербург"</w:t>
      </w:r>
      <w:r>
        <w:rPr>
          <w:rFonts w:ascii="Verdana" w:hAnsi="Verdana"/>
          <w:color w:val="000000"/>
          <w:sz w:val="20"/>
        </w:rPr>
        <w:br/>
        <w:t>Дирекции Северо-Запад</w:t>
      </w:r>
      <w:r>
        <w:rPr>
          <w:rFonts w:ascii="Verdana" w:hAnsi="Verdana"/>
          <w:color w:val="000000"/>
          <w:sz w:val="20"/>
        </w:rPr>
        <w:br/>
        <w:t xml:space="preserve">ББР Банк (АО), </w:t>
      </w:r>
      <w:proofErr w:type="spellStart"/>
      <w:r>
        <w:rPr>
          <w:rFonts w:ascii="Verdana" w:hAnsi="Verdana"/>
          <w:color w:val="000000"/>
          <w:sz w:val="20"/>
        </w:rPr>
        <w:t>г.Самара</w:t>
      </w:r>
      <w:proofErr w:type="spellEnd"/>
      <w:r>
        <w:rPr>
          <w:rFonts w:ascii="Verdana" w:hAnsi="Verdana"/>
          <w:color w:val="000000"/>
          <w:sz w:val="20"/>
        </w:rPr>
        <w:br/>
      </w:r>
      <w:r>
        <w:rPr>
          <w:rFonts w:ascii="Verdana" w:hAnsi="Verdana"/>
          <w:color w:val="217AC9"/>
          <w:sz w:val="20"/>
        </w:rPr>
        <w:t>___________________________</w:t>
      </w:r>
      <w:r>
        <w:rPr>
          <w:rFonts w:ascii="Verdana" w:hAnsi="Verdana"/>
          <w:color w:val="217AC9"/>
          <w:sz w:val="20"/>
        </w:rPr>
        <w:br/>
      </w:r>
      <w:r>
        <w:rPr>
          <w:rFonts w:ascii="Verdana" w:hAnsi="Verdana"/>
          <w:color w:val="4D4F53"/>
          <w:sz w:val="20"/>
        </w:rPr>
        <w:t>тел.: +7 9277371305</w:t>
      </w:r>
      <w:r>
        <w:rPr>
          <w:rFonts w:ascii="Verdana" w:hAnsi="Verdana"/>
          <w:color w:val="4D4F53"/>
          <w:sz w:val="20"/>
        </w:rPr>
        <w:br/>
        <w:t xml:space="preserve">эл. почта: </w:t>
      </w:r>
      <w:hyperlink r:id="rId7" w:history="1">
        <w:r>
          <w:rPr>
            <w:rStyle w:val="a3"/>
            <w:rFonts w:ascii="Verdana" w:hAnsi="Verdana"/>
            <w:color w:val="1B63A5"/>
            <w:sz w:val="20"/>
          </w:rPr>
          <w:t>A.Timko@bbr.ru</w:t>
        </w:r>
      </w:hyperlink>
    </w:p>
    <w:p w:rsidR="00962750" w:rsidRPr="00962750" w:rsidRDefault="00962750">
      <w:pPr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4D4F53"/>
          <w:sz w:val="20"/>
        </w:rPr>
        <w:lastRenderedPageBreak/>
        <w:t xml:space="preserve">веб-сайт: </w:t>
      </w:r>
      <w:hyperlink r:id="rId8" w:history="1">
        <w:r>
          <w:rPr>
            <w:rStyle w:val="a3"/>
            <w:rFonts w:ascii="Verdana" w:hAnsi="Verdana"/>
            <w:color w:val="1B63A5"/>
            <w:sz w:val="20"/>
          </w:rPr>
          <w:t>www.bbr.ru</w:t>
        </w:r>
      </w:hyperlink>
      <w:r>
        <w:rPr>
          <w:rFonts w:ascii="Verdana" w:hAnsi="Verdana"/>
          <w:color w:val="4D4F53"/>
          <w:sz w:val="20"/>
        </w:rPr>
        <w:br/>
      </w:r>
      <w:r>
        <w:rPr>
          <w:rFonts w:ascii="Verdana" w:hAnsi="Verdana"/>
          <w:noProof/>
          <w:color w:val="4D4F53"/>
          <w:sz w:val="20"/>
          <w:lang w:eastAsia="ru-RU"/>
        </w:rPr>
        <w:drawing>
          <wp:inline distT="0" distB="0" distL="0" distR="0">
            <wp:extent cx="2209800" cy="65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2750" w:rsidRPr="0096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90"/>
    <w:rsid w:val="002B0D2A"/>
    <w:rsid w:val="004F4790"/>
    <w:rsid w:val="00962750"/>
    <w:rsid w:val="00B26A22"/>
    <w:rsid w:val="00D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4C77C"/>
  <w15:chartTrackingRefBased/>
  <w15:docId w15:val="{DD027BD0-4D81-4B8B-97C4-5EE0CC6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7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Timko@b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png@01DBE51D.15E31EE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Тимко Анастасия Петровна</dc:creator>
  <cp:keywords/>
  <dc:description/>
  <cp:lastModifiedBy>Тимко Анастасия Петровна</cp:lastModifiedBy>
  <cp:revision>4</cp:revision>
  <dcterms:created xsi:type="dcterms:W3CDTF">2025-06-25T07:15:00Z</dcterms:created>
  <dcterms:modified xsi:type="dcterms:W3CDTF">2025-06-25T07:24:00Z</dcterms:modified>
</cp:coreProperties>
</file>