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13.jpeg" ContentType="image/jpeg"/>
  <Override PartName="/word/media/image8.jpeg" ContentType="image/jpeg"/>
  <Override PartName="/word/media/image2.png" ContentType="image/png"/>
  <Override PartName="/word/media/image12.jpeg" ContentType="image/jpeg"/>
  <Override PartName="/word/media/image7.jpeg" ContentType="image/jpeg"/>
  <Override PartName="/word/media/image11.jpeg" ContentType="image/jpeg"/>
  <Override PartName="/word/media/image6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10.jpeg" ContentType="image/jpeg"/>
  <Override PartName="/word/media/image9.jpeg" ContentType="image/jpeg"/>
  <Override PartName="/word/media/image14.jpeg" ContentType="image/jpeg"/>
  <Override PartName="/word/media/image1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color w:val="404040"/>
          <w:sz w:val="18"/>
          <w:szCs w:val="18"/>
        </w:rPr>
      </w:pPr>
      <w:r>
        <w:rPr/>
        <w:drawing>
          <wp:inline distT="0" distB="0" distL="0" distR="0">
            <wp:extent cx="6623685" cy="111887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Закупки отходов ПНД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Мы принимаем отходы пнд на нашем производстве, которое оборудовано специальной лабораторией для определения качества входного сырья. Так же наше производство оснащено точными автомобильными весами, для определения веса поставленного сырья.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Мы сотрудничаем с поставщиками по всей России и странам ближнего зарубежья. Если у Вас есть трудности с самостоятельной поставкой канистр на наше производство, то специалисты нашего отдела логистики могут помочь организовать доставку вашего сырья на наше производство.</w:t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Закупка канистр и бочек ПНД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Группа компаний «Вторма» закупает Б/У прессованные ПНД канистры  и бочки на постоянной основе.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  <w:sz w:val="22"/>
          <w:szCs w:val="22"/>
        </w:rPr>
      </w:pPr>
      <w:r>
        <w:rPr/>
        <w:drawing>
          <wp:inline distT="0" distB="0" distL="0" distR="0">
            <wp:extent cx="3771900" cy="238125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 xml:space="preserve">Технические требования </w:t>
      </w:r>
    </w:p>
    <w:p>
      <w:pPr>
        <w:pStyle w:val="NormalWeb"/>
        <w:keepNext w:val="false"/>
        <w:keepLines w:val="false"/>
        <w:widowControl/>
        <w:numPr>
          <w:ilvl w:val="0"/>
          <w:numId w:val="1"/>
        </w:numPr>
        <w:spacing w:lineRule="atLeast" w:line="225" w:before="280" w:after="280"/>
        <w:ind w:left="0" w:right="0" w:hanging="0"/>
        <w:jc w:val="both"/>
        <w:rPr>
          <w:rFonts w:ascii="Times New Roman" w:hAnsi="Times New Roman" w:cs="Times New Roman"/>
          <w:color w:val="404040"/>
          <w:sz w:val="22"/>
          <w:szCs w:val="22"/>
        </w:rPr>
      </w:pPr>
      <w:r>
        <w:drawing>
          <wp:anchor behindDoc="1" distT="0" distB="0" distL="0" distR="0" simplePos="0" locked="0" layoutInCell="0" allowOverlap="1" relativeHeight="14">
            <wp:simplePos x="0" y="0"/>
            <wp:positionH relativeFrom="column">
              <wp:posOffset>2932430</wp:posOffset>
            </wp:positionH>
            <wp:positionV relativeFrom="paragraph">
              <wp:posOffset>257175</wp:posOffset>
            </wp:positionV>
            <wp:extent cx="1338580" cy="1338580"/>
            <wp:effectExtent l="0" t="0" r="0" b="0"/>
            <wp:wrapNone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404040"/>
          <w:sz w:val="22"/>
          <w:szCs w:val="22"/>
        </w:rPr>
        <w:t>Принимаются к переработке бывшие в употреблении канистры ПНД разного цвета, размера и формы. Маркировка HDPE (в треугольнике цифра — 2).</w:t>
      </w:r>
    </w:p>
    <w:p>
      <w:pPr>
        <w:pStyle w:val="NormalWeb"/>
        <w:keepNext w:val="false"/>
        <w:keepLines w:val="false"/>
        <w:widowControl/>
        <w:numPr>
          <w:ilvl w:val="0"/>
          <w:numId w:val="0"/>
        </w:numPr>
        <w:spacing w:lineRule="atLeast" w:line="225" w:before="280" w:after="280"/>
        <w:ind w:left="0" w:right="0" w:hanging="0"/>
        <w:jc w:val="both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eastAsia="SimSun" w:cs="Times New Roman"/>
          <w:color w:val="404040"/>
          <w:kern w:val="0"/>
          <w:sz w:val="22"/>
          <w:szCs w:val="22"/>
          <w:lang w:val="en-US" w:eastAsia="zh-CN" w:bidi="ar-SA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eastAsia="SimSun" w:cs="Times New Roman"/>
          <w:color w:val="404040"/>
          <w:kern w:val="0"/>
          <w:sz w:val="22"/>
          <w:szCs w:val="22"/>
          <w:lang w:val="en-US" w:eastAsia="zh-CN" w:bidi="ar-SA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eastAsia="SimSun" w:cs="Times New Roman"/>
          <w:color w:val="404040"/>
          <w:kern w:val="0"/>
          <w:sz w:val="22"/>
          <w:szCs w:val="22"/>
          <w:lang w:val="en-US" w:eastAsia="zh-CN" w:bidi="ar-SA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eastAsia="SimSun" w:cs="Times New Roman"/>
          <w:color w:val="404040"/>
          <w:kern w:val="0"/>
          <w:sz w:val="22"/>
          <w:szCs w:val="22"/>
          <w:lang w:val="en-US" w:eastAsia="zh-CN" w:bidi="ar-SA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eastAsia="SimSun" w:cs="Times New Roman"/>
          <w:color w:val="404040"/>
          <w:kern w:val="0"/>
          <w:sz w:val="22"/>
          <w:szCs w:val="22"/>
          <w:lang w:val="en-US" w:eastAsia="zh-CN" w:bidi="ar-SA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</w:r>
    </w:p>
    <w:p>
      <w:pPr>
        <w:pStyle w:val="Normal"/>
        <w:keepNext w:val="false"/>
        <w:keepLines w:val="false"/>
        <w:widowControl/>
        <w:pBdr/>
        <w:spacing w:lineRule="atLeast" w:line="225"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>
        <w:rPr>
          <w:rFonts w:eastAsia="SimSun" w:cs="Times New Roman" w:ascii="Times New Roman" w:hAnsi="Times New Roman"/>
          <w:color w:val="404040"/>
          <w:kern w:val="0"/>
          <w:sz w:val="22"/>
          <w:szCs w:val="22"/>
          <w:lang w:val="en-US" w:eastAsia="zh-CN" w:bidi="ar-SA"/>
        </w:rPr>
        <w:t>2. Канистры должны быть спрессованы в кипы, пригодные к механизированной разгрузки.</w:t>
        <w:br/>
        <w:t>3. Внутри кип не должно быть сторонних полимеров в виде ПЭТ, поликарбоната и ПВХ.</w:t>
        <w:br/>
        <w:t>4. Не подлежат переработке канистры из-под гербицидов, пестицидов, тригонокса. А так же из-под кислот (серной, азотной и др) и любых пищевых масел (подсолнечное, фритюрное и др.)</w:t>
        <w:br/>
        <w:t>5. Содержание посторонних включений в виде вёдер, тазов, леек, кубов, бумаги, тряпья, металла, дерева, резины, стекла и прочего бытового мусора не допускается.</w:t>
        <w:br/>
        <w:t>6. Не принимаются к переработке канистры, загрязненные клеем, гипсом, цементом, масляными красками, битумом, лаком и другими вязкими нерастворимыми в воде веществами.</w:t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404040"/>
          <w:sz w:val="24"/>
          <w:szCs w:val="24"/>
        </w:rPr>
        <w:t>Мы не принимаем канистры из-под</w:t>
      </w:r>
    </w:p>
    <w:tbl>
      <w:tblPr>
        <w:tblStyle w:val="5"/>
        <w:tblW w:w="10858" w:type="dxa"/>
        <w:jc w:val="left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81"/>
        <w:gridCol w:w="2072"/>
        <w:gridCol w:w="1891"/>
        <w:gridCol w:w="1935"/>
        <w:gridCol w:w="2279"/>
      </w:tblGrid>
      <w:tr>
        <w:trPr>
          <w:trHeight w:val="3022" w:hRule="atLeast"/>
        </w:trPr>
        <w:tc>
          <w:tcPr>
            <w:tcW w:w="2681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Изображение 4" descr="IMG_25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9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кислот и ядохимикатов (гербициды, пестициды, химически сшитые)</w:t>
            </w:r>
          </w:p>
        </w:tc>
        <w:tc>
          <w:tcPr>
            <w:tcW w:w="2072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Изображение 5" descr="IMG_26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6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тригонокса (с двумя крышками)</w:t>
            </w:r>
          </w:p>
        </w:tc>
        <w:tc>
          <w:tcPr>
            <w:tcW w:w="1891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Изображение 6" descr="IMG_26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IMG_26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клея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Изображение 7" descr="IMG_26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6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br/>
              <w:t>лакокрасочных изделий</w:t>
            </w:r>
          </w:p>
        </w:tc>
        <w:tc>
          <w:tcPr>
            <w:tcW w:w="2279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Изображение 8" descr="IMG_26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IMG_26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фритюрных и подсолнечных масел и жиров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404040"/>
          <w:sz w:val="18"/>
          <w:szCs w:val="18"/>
        </w:rPr>
      </w:pPr>
      <w:r>
        <w:rPr>
          <w:rFonts w:cs="Times New Roman" w:ascii="Times New Roman" w:hAnsi="Times New Roman"/>
          <w:color w:val="404040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color w:val="404040"/>
          <w:sz w:val="18"/>
          <w:szCs w:val="18"/>
        </w:rPr>
      </w:pPr>
      <w:r>
        <w:rPr>
          <w:rFonts w:cs="Times New Roman" w:ascii="Times New Roman" w:hAnsi="Times New Roman"/>
          <w:color w:val="404040"/>
          <w:sz w:val="18"/>
          <w:szCs w:val="18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Закупка отходов трубы ПНД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ind w:left="0" w:right="0" w:firstLine="90"/>
        <w:jc w:val="center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15">
            <wp:simplePos x="0" y="0"/>
            <wp:positionH relativeFrom="column">
              <wp:posOffset>951865</wp:posOffset>
            </wp:positionH>
            <wp:positionV relativeFrom="paragraph">
              <wp:posOffset>236220</wp:posOffset>
            </wp:positionV>
            <wp:extent cx="4714875" cy="2381250"/>
            <wp:effectExtent l="0" t="0" r="0" b="0"/>
            <wp:wrapNone/>
            <wp:docPr id="9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6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404040"/>
          <w:sz w:val="22"/>
          <w:szCs w:val="22"/>
        </w:rPr>
        <w:t>Группа компаний "Вторма" регулярно закупает Б/У трубы ПНД.</w:t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Технические требования к трубе ПНД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1. Принимается к переработке только труба ПНД.</w:t>
        <w:br/>
        <w:t>2. Внутренний слой трубы должен быть гладким и ровным.</w:t>
        <w:br/>
        <w:t>3. Не допускаются к переработке двуслойные трубы ПНД.</w:t>
        <w:br/>
        <w:t>4. Не принимаем кабельная оболочка, шкура трубы и гофрированная труба.</w:t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Закупка дробленки ПНД</w:t>
      </w:r>
    </w:p>
    <w:p>
      <w:pPr>
        <w:pStyle w:val="Normal"/>
        <w:jc w:val="center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  <w:t>Группа компаний "Вторма" закупает дробленку ПНД</w:t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  <w:drawing>
          <wp:anchor behindDoc="1" distT="0" distB="0" distL="0" distR="0" simplePos="0" locked="0" layoutInCell="0" allowOverlap="1" relativeHeight="16">
            <wp:simplePos x="0" y="0"/>
            <wp:positionH relativeFrom="column">
              <wp:posOffset>2207895</wp:posOffset>
            </wp:positionH>
            <wp:positionV relativeFrom="paragraph">
              <wp:posOffset>108585</wp:posOffset>
            </wp:positionV>
            <wp:extent cx="2381250" cy="2381250"/>
            <wp:effectExtent l="0" t="0" r="0" b="0"/>
            <wp:wrapNone/>
            <wp:docPr id="10" name="Изображение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_26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color w:val="404040"/>
        </w:rPr>
      </w:pPr>
      <w:r>
        <w:rPr>
          <w:rFonts w:cs="Times New Roman" w:ascii="Times New Roman" w:hAnsi="Times New Roman"/>
          <w:color w:val="404040"/>
        </w:rPr>
      </w:r>
    </w:p>
    <w:p>
      <w:pPr>
        <w:pStyle w:val="2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Технические требования к дробленным канистрам ПНД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1. В дробленном материале ПНД должны присутствовать только канистры ПНД.</w:t>
        <w:br/>
        <w:t>2. Вторичное сырье полиэтилена низкого давления не должно содержать посторонних неотделимых примесей в виде бумажных этикеток или наклеек, скотча, вкладышей и нитей из другого вида полимеров.</w:t>
        <w:br/>
        <w:t>3. Не подлежит заготовке и поставке полимерное сырье, загрязненное цементом, алебастром, гипсом, клеями, масляными красками, дегтем, битумом, лаками, и другими вязкими, не растворимыми в воде веществами, а также дублированное с другими видами полимеров.</w:t>
        <w:br/>
        <w:t>4. Не подлежат к переработке дробленные канистры из-под гербицидов, пестицидов, тригонокса.</w:t>
        <w:br/>
        <w:t>5. Поставляемое сырье не должно содержать химически сшитый материал.</w:t>
        <w:br/>
        <w:t>6. Показатель текучести расплава поставляемого дробленного материала ПНД не должен превышать 0,7 г/мин (190 C/5 кг).</w:t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color w:val="404040"/>
          <w:sz w:val="36"/>
          <w:szCs w:val="36"/>
        </w:rPr>
        <w:t>На постоянной основе и в полном объёме</w:t>
      </w:r>
    </w:p>
    <w:tbl>
      <w:tblPr>
        <w:tblStyle w:val="5"/>
        <w:tblW w:w="11039" w:type="dxa"/>
        <w:jc w:val="left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31"/>
        <w:gridCol w:w="1507"/>
      </w:tblGrid>
      <w:tr>
        <w:trPr>
          <w:trHeight w:val="572" w:hRule="atLeast"/>
        </w:trPr>
        <w:tc>
          <w:tcPr>
            <w:tcW w:w="9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zh-CN" w:bidi="ar-SA"/>
              </w:rPr>
              <w:t>канистры чистые, толстостенные или бочки ПНД прессованные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50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t xml:space="preserve"> руб/кг</w:t>
            </w:r>
          </w:p>
        </w:tc>
      </w:tr>
      <w:tr>
        <w:trPr>
          <w:trHeight w:val="528" w:hRule="atLeast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t>канистры ПНД (грязные, тонкие, полигон)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45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t xml:space="preserve"> руб/кг</w:t>
            </w:r>
          </w:p>
        </w:tc>
      </w:tr>
      <w:tr>
        <w:trPr>
          <w:trHeight w:val="528" w:hRule="atLeast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zh-CN" w:bidi="ar-SA"/>
              </w:rPr>
              <w:t>Флаконы прессованные ПНД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30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 xml:space="preserve"> руб/кг</w:t>
            </w:r>
          </w:p>
        </w:tc>
      </w:tr>
      <w:tr>
        <w:trPr>
          <w:trHeight w:val="528" w:hRule="atLeast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Times New Roman" w:hAnsi="Times New Roman" w:eastAsia="宋体" w:cs="Times New Roman" w:eastAsiaTheme="minorEastAsia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zh-CN" w:bidi="ar-SA"/>
              </w:rPr>
              <w:t>Дробленные канистры, бочки ПНД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mes New Roman" w:hAnsi="Times New Roman" w:eastAsia="宋体" w:cs="Times New Roman" w:eastAsiaTheme="minorEastAsia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 xml:space="preserve">65 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t>руб/кг</w:t>
            </w:r>
          </w:p>
        </w:tc>
      </w:tr>
    </w:tbl>
    <w:p>
      <w:pPr>
        <w:pStyle w:val="Normal"/>
        <w:keepNext w:val="false"/>
        <w:keepLines w:val="false"/>
        <w:widowControl/>
        <w:pBdr/>
        <w:spacing w:lineRule="atLeast" w:line="225"/>
        <w:jc w:val="right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eastAsia="SimSun" w:cs="Times New Roman" w:ascii="Times New Roman" w:hAnsi="Times New Roman"/>
          <w:color w:val="404040"/>
          <w:kern w:val="0"/>
          <w:sz w:val="24"/>
          <w:szCs w:val="24"/>
          <w:lang w:val="en-US" w:eastAsia="zh-CN" w:bidi="ar-SA"/>
        </w:rPr>
        <w:t>Цены указаны с НДС на нашем производстве в г.Владимир</w:t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ind w:left="0" w:hanging="0"/>
        <w:jc w:val="left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  <w:t>P.S.</w:t>
      </w:r>
      <w:r>
        <w:rPr>
          <w:rFonts w:cs="Times New Roman" w:ascii="Times New Roman" w:hAnsi="Times New Roman"/>
          <w:color w:val="FF0000"/>
          <w:sz w:val="28"/>
          <w:szCs w:val="28"/>
          <w:lang w:val="ru-RU"/>
        </w:rPr>
        <w:t xml:space="preserve"> цены на условиях самовывоза обговариваются отдельно,</w:t>
      </w:r>
      <w:bookmarkStart w:id="0" w:name="_GoBack"/>
      <w:bookmarkEnd w:id="0"/>
      <w:r>
        <w:rPr>
          <w:rFonts w:cs="Times New Roman" w:ascii="Times New Roman" w:hAnsi="Times New Roman"/>
          <w:color w:val="FF0000"/>
          <w:sz w:val="28"/>
          <w:szCs w:val="28"/>
          <w:lang w:val="ru-RU"/>
        </w:rPr>
        <w:t xml:space="preserve"> т.к. зависят от количества объема сырья и затрат на логистику</w:t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Fonts w:cs="Times New Roman" w:ascii="Times New Roman" w:hAnsi="Times New Roman"/>
          <w:color w:val="404040"/>
          <w:sz w:val="22"/>
          <w:szCs w:val="22"/>
        </w:rPr>
      </w:r>
    </w:p>
    <w:p>
      <w:pPr>
        <w:pStyle w:val="1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1"/>
        <w:widowControl/>
        <w:spacing w:lineRule="atLeast" w:line="225" w:before="280" w:after="2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404040"/>
        </w:rPr>
        <w:t>Наши основные принципы закупки сырья</w:t>
      </w:r>
    </w:p>
    <w:tbl>
      <w:tblPr>
        <w:tblStyle w:val="5"/>
        <w:tblW w:w="10619" w:type="dxa"/>
        <w:jc w:val="left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17"/>
        <w:gridCol w:w="1940"/>
        <w:gridCol w:w="2131"/>
        <w:gridCol w:w="2513"/>
        <w:gridCol w:w="2018"/>
      </w:tblGrid>
      <w:tr>
        <w:trPr>
          <w:trHeight w:val="2614" w:hRule="atLeast"/>
        </w:trPr>
        <w:tc>
          <w:tcPr>
            <w:tcW w:w="2017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Изображение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IMG_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Стабильность</w:t>
              <w:br/>
              <w:t>закупок</w:t>
            </w:r>
          </w:p>
        </w:tc>
        <w:tc>
          <w:tcPr>
            <w:tcW w:w="1940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095375" cy="1143000"/>
                  <wp:effectExtent l="0" t="0" r="0" b="0"/>
                  <wp:docPr id="12" name="Изображение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IMG_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zh-CN" w:bidi="ar-SA"/>
              </w:rPr>
              <w:br/>
              <w:br/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Рыночная</w:t>
              <w:br/>
              <w:t>стоимость</w:t>
            </w:r>
          </w:p>
        </w:tc>
        <w:tc>
          <w:tcPr>
            <w:tcW w:w="2131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spacing w:before="0" w:afterAutospacing="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209675" cy="1143000"/>
                  <wp:effectExtent l="0" t="0" r="0" b="0"/>
                  <wp:docPr id="13" name="Изображение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 descr="IMG_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Прозрачность</w:t>
              <w:br/>
              <w:t>работы</w:t>
            </w:r>
          </w:p>
        </w:tc>
        <w:tc>
          <w:tcPr>
            <w:tcW w:w="2513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438275" cy="1143000"/>
                  <wp:effectExtent l="0" t="0" r="0" b="0"/>
                  <wp:docPr id="14" name="Изображение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IMG_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Проверка</w:t>
              <w:br/>
              <w:t>качества</w:t>
            </w:r>
          </w:p>
        </w:tc>
        <w:tc>
          <w:tcPr>
            <w:tcW w:w="2018" w:type="dxa"/>
            <w:tcBorders/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Изображение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IMG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Четкая </w:t>
              <w:br/>
              <w:t>оплата в срок</w:t>
            </w:r>
          </w:p>
        </w:tc>
      </w:tr>
    </w:tbl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Мы работаем по договору и готовы сами предоставлять все необходимые документы. Того же требуем от наших поставщиков.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Наша компания уделяет особое внимание качеству Нашей Продукции. И что бы оно было на высоком уровне, мы так же боремся за качество поставляемого нам сырья.</w:t>
      </w:r>
    </w:p>
    <w:p>
      <w:pPr>
        <w:pStyle w:val="NormalWeb"/>
        <w:keepNext w:val="false"/>
        <w:keepLines w:val="false"/>
        <w:widowControl/>
        <w:spacing w:lineRule="atLeast" w:line="225" w:before="280" w:after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404040"/>
          <w:sz w:val="22"/>
          <w:szCs w:val="22"/>
        </w:rPr>
        <w:t>Поэтому просим особое внимание обратить на требования, которые мы предъявляем к сырью. Мы ценим долгосрочное сотрудничество и нам интересны партнеры, которые так же как и мы хотят расти и развиваться и поставлять качественный продукт.</w:t>
      </w:r>
    </w:p>
    <w:p>
      <w:pPr>
        <w:pStyle w:val="Normal"/>
        <w:jc w:val="center"/>
        <w:rPr>
          <w:rFonts w:ascii="Times New Roman" w:hAnsi="Times New Roman" w:cs="Times New Roman"/>
          <w:color w:val="404040"/>
          <w:sz w:val="22"/>
          <w:szCs w:val="22"/>
        </w:rPr>
      </w:pPr>
      <w:r>
        <w:rPr>
          <w:rStyle w:val="Strong"/>
          <w:rFonts w:cs="Times New Roman" w:ascii="Times New Roman" w:hAnsi="Times New Roman"/>
          <w:b/>
          <w:bCs/>
          <w:color w:val="202020"/>
          <w:sz w:val="27"/>
          <w:szCs w:val="27"/>
        </w:rPr>
        <w:t>Звоните по телефону</w:t>
      </w:r>
      <w:r>
        <w:rPr>
          <w:rStyle w:val="Strong"/>
          <w:rFonts w:cs="Times New Roman" w:ascii="Times New Roman" w:hAnsi="Times New Roman"/>
          <w:b/>
          <w:bCs/>
          <w:color w:val="FF0000"/>
          <w:sz w:val="27"/>
          <w:szCs w:val="27"/>
        </w:rPr>
        <w:t xml:space="preserve"> </w:t>
      </w:r>
      <w:r>
        <w:rPr>
          <w:rFonts w:cs="Times New Roman" w:ascii="Times New Roman" w:hAnsi="Times New Roman"/>
          <w:color w:val="FF0000"/>
          <w:sz w:val="27"/>
          <w:szCs w:val="27"/>
        </w:rPr>
        <w:t>+7(920)930-93-50</w:t>
      </w:r>
      <w:r>
        <w:rPr>
          <w:rFonts w:cs="Times New Roman" w:ascii="Times New Roman" w:hAnsi="Times New Roman"/>
          <w:color w:val="FF0000"/>
          <w:sz w:val="27"/>
          <w:szCs w:val="27"/>
          <w:lang w:val="ru-RU"/>
        </w:rPr>
        <w:t xml:space="preserve"> - </w:t>
      </w:r>
      <w:r>
        <w:rPr>
          <w:rStyle w:val="Strong"/>
          <w:rFonts w:cs="Times New Roman" w:ascii="Times New Roman" w:hAnsi="Times New Roman"/>
          <w:b/>
          <w:bCs/>
          <w:color w:val="FF0000"/>
          <w:sz w:val="27"/>
          <w:szCs w:val="27"/>
          <w:lang w:val="ru-RU"/>
        </w:rPr>
        <w:t>Ольга</w:t>
      </w:r>
      <w:r>
        <w:rPr>
          <w:rStyle w:val="Strong"/>
          <w:rFonts w:cs="Times New Roman" w:ascii="Times New Roman" w:hAnsi="Times New Roman"/>
          <w:b/>
          <w:bCs/>
          <w:color w:val="202020"/>
          <w:sz w:val="27"/>
          <w:szCs w:val="27"/>
        </w:rPr>
        <w:br/>
        <w:t>Наши сотрудники будут рады Вам помочь!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1">
    <w:name w:val="Heading 1"/>
    <w:next w:val="Normal"/>
    <w:uiPriority w:val="0"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2"/>
      <w:sz w:val="48"/>
      <w:szCs w:val="48"/>
      <w:lang w:val="en-US" w:eastAsia="zh-CN" w:bidi="ar-SA"/>
    </w:rPr>
  </w:style>
  <w:style w:type="paragraph" w:styleId="2">
    <w:name w:val="Heading 2"/>
    <w:next w:val="Normal"/>
    <w:uiPriority w:val="0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8">
    <w:name w:val="Body Text"/>
    <w:basedOn w:val="Normal"/>
    <w:pPr>
      <w:spacing w:lineRule="auto" w:line="276" w:before="0" w:after="140"/>
    </w:pPr>
    <w:rPr/>
  </w:style>
  <w:style w:type="paragraph" w:styleId="Style9">
    <w:name w:val="List"/>
    <w:basedOn w:val="Style8"/>
    <w:pPr/>
    <w:rPr>
      <w:rFonts w:cs="Arial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yperlink" Target="https://www.vtorma.ru/assets/images/bad1.jpg" TargetMode="External"/><Relationship Id="rId7" Type="http://schemas.openxmlformats.org/officeDocument/2006/relationships/image" Target="media/image5.jpeg"/><Relationship Id="rId8" Type="http://schemas.openxmlformats.org/officeDocument/2006/relationships/hyperlink" Target="https://www.vtorma.ru/assets/images/bad2.jpg" TargetMode="External"/><Relationship Id="rId9" Type="http://schemas.openxmlformats.org/officeDocument/2006/relationships/image" Target="media/image6.jpeg"/><Relationship Id="rId10" Type="http://schemas.openxmlformats.org/officeDocument/2006/relationships/hyperlink" Target="https://www.vtorma.ru/assets/images/bad3.jpg" TargetMode="External"/><Relationship Id="rId11" Type="http://schemas.openxmlformats.org/officeDocument/2006/relationships/image" Target="media/image7.jpeg"/><Relationship Id="rId12" Type="http://schemas.openxmlformats.org/officeDocument/2006/relationships/hyperlink" Target="https://www.vtorma.ru/assets/images/bad4.jpg" TargetMode="External"/><Relationship Id="rId13" Type="http://schemas.openxmlformats.org/officeDocument/2006/relationships/image" Target="media/image8.jpeg"/><Relationship Id="rId14" Type="http://schemas.openxmlformats.org/officeDocument/2006/relationships/hyperlink" Target="https://www.vtorma.ru/assets/images/bad5.jpg" TargetMode="External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4</Pages>
  <Words>564</Words>
  <Characters>3511</Characters>
  <CharactersWithSpaces>4049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2022-11-24T12:58:00Z</dcterms:created>
  <dc:creator>USER</dc:creator>
  <dc:description/>
  <dc:language>ru-RU</dc:language>
  <cp:lastModifiedBy/>
  <dcterms:modified xsi:type="dcterms:W3CDTF">2024-12-25T10:46:49Z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576D711C1BC448ADAF1D28C2FF288E3E</vt:lpwstr>
  </property>
  <property fmtid="{D5CDD505-2E9C-101B-9397-08002B2CF9AE}" pid="3" name="KSOProductBuildVer">
    <vt:lpwstr>1049-11.2.0.11486</vt:lpwstr>
  </property>
</Properties>
</file>